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pBdr>
          <w:bottom w:val="single" w:sz="8" w:space="5" w:color="507C82"/>
        </w:pBdr>
      </w:pPr>
      <w:r>
        <w:t>PCI Preparation and Quality-Review Checklist</w:t>
      </w:r>
    </w:p>
    <w:p>
      <w:pPr>
        <w:spacing w:after="160"/>
      </w:pPr>
      <w:r>
        <w:rPr>
          <w:rFonts w:ascii="Calibri" w:hAnsi="Calibri"/>
          <w:b/>
          <w:color w:val="507C82"/>
          <w:sz w:val="22"/>
        </w:rPr>
        <w:t>A concise pre-issue check for the person compiling and reviewing the PCI</w:t>
      </w:r>
    </w:p>
    <w:p>
      <w:pPr>
        <w:pStyle w:val="Guidance"/>
      </w:pPr>
      <w:r>
        <w:t>Companion working resource to The Pre-Construction Information Workbook. Adapt this template to the scale, complexity and risk profile of the project. Delete guidance text before formal issue.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Project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PCI revision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Prepared by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Reviewed by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Review date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</w:tbl>
    <w:p>
      <w:pPr>
        <w:spacing w:after="0"/>
      </w:pPr>
    </w:p>
    <w:p>
      <w:pPr>
        <w:pStyle w:val="Heading1"/>
      </w:pPr>
      <w:r>
        <w:t>Project-specific and proportionate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The PCI describes this project rather than a generic type of work.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Irrelevant sections have been removed or clearly marked N/A with a reason.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The amount of detail is proportionate to the project’s scale, complexity and risk.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Generic construction hazards have not been copied into the PCI without project-specific relevance.</w:t>
      </w:r>
    </w:p>
    <w:p>
      <w:pPr>
        <w:pStyle w:val="Heading1"/>
      </w:pPr>
      <w:r>
        <w:t>Information quality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The latest reasonably available surveys and records have been used.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Document dates, revisions and important limitations are stated.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Unknowns are identified as gaps or actions rather than being converted into assumptions.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Conflicting information has been resolved or clearly flagged.</w:t>
      </w:r>
    </w:p>
    <w:p>
      <w:pPr>
        <w:pStyle w:val="Heading1"/>
      </w:pPr>
      <w:r>
        <w:t>Existing building / site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Asbestos information is appropriate to the proposed intrusive work.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Existing services and isolation arrangements are addressed.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Structural / stability / load constraints are addressed where relevant.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Access, deliveries, public interfaces and operational constraints are clear.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Fire, emergency and security interfaces are described where relevant.</w:t>
      </w:r>
    </w:p>
    <w:p>
      <w:pPr>
        <w:pStyle w:val="Heading1"/>
      </w:pPr>
      <w:r>
        <w:t>Significant risks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The PCI highlights risks that are unusual, significant, difficult to foresee or materially influenced by design.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The description explains why the issue matters on this project.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Useful information or design decisions are provided, not merely labels such as “work at height”.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Residual uncertainty and required further investigation are visible.</w:t>
      </w:r>
    </w:p>
    <w:p>
      <w:pPr>
        <w:pStyle w:val="Heading1"/>
      </w:pPr>
      <w:r>
        <w:t>Clarity and usability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The document can be understood by a competent contractor without unnecessary interpretation.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Important restrictions are easy to find.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Supporting drawings / reports are attached or clearly referenced.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No contradictory boilerplate remains from the template.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Names, contacts, dates and revision status are complete.</w:t>
      </w:r>
    </w:p>
    <w:p>
      <w:pPr>
        <w:pStyle w:val="Heading1"/>
      </w:pPr>
      <w:r>
        <w:t>Issue and maintenance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The intended issue status is clear.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The right recipients will receive the PCI and supporting information.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A process exists to issue material new information arising before construction.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The project team understands which information should flow into the Construction Phase Plan and H&amp;S File.</w:t>
      </w:r>
    </w:p>
    <w:p>
      <w:pPr>
        <w:pStyle w:val="Heading1"/>
      </w:pPr>
      <w:r>
        <w:t>Review outcome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Ready for issue?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[Yes / No]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Actions required before issue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Action owner / date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</w:tbl>
    <w:p>
      <w:pPr>
        <w:spacing w:after="0"/>
      </w:pPr>
    </w:p>
    <w:sectPr w:rsidR="00FC693F" w:rsidRPr="0006063C" w:rsidSect="00034616">
      <w:footerReference w:type="default" r:id="rId9"/>
      <w:pgSz w:w="11909" w:h="16834"/>
      <w:pgMar w:top="936" w:right="1008" w:bottom="936" w:left="100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F696E"/>
        <w:sz w:val="15"/>
      </w:rPr>
      <w:t>PCI Workbook reader resource  |  Editable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4" w:lineRule="auto"/>
    </w:pPr>
    <w:rPr>
      <w:rFonts w:ascii="Aptos" w:hAnsi="Aptos"/>
      <w:color w:val="2D373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27485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507C82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7485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7485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Guidance">
    <w:name w:val="Guidance"/>
    <w:pPr>
      <w:spacing w:after="100"/>
    </w:pPr>
    <w:rPr>
      <w:rFonts w:ascii="Aptos" w:hAnsi="Aptos"/>
      <w:i/>
      <w:color w:val="5F696E"/>
      <w:sz w:val="18"/>
    </w:rPr>
  </w:style>
  <w:style w:type="paragraph" w:customStyle="1" w:styleId="Field">
    <w:name w:val="Field"/>
    <w:pPr>
      <w:spacing w:after="80"/>
    </w:pPr>
    <w:rPr>
      <w:rFonts w:ascii="Aptos" w:hAnsi="Aptos"/>
      <w:color w:val="2D373C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