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pBdr>
          <w:bottom w:val="single" w:sz="8" w:space="5" w:color="507C82"/>
        </w:pBdr>
      </w:pPr>
      <w:r>
        <w:t>PCI Template — Occupied / Operational Building</w:t>
      </w:r>
    </w:p>
    <w:p>
      <w:pPr>
        <w:spacing w:after="160"/>
      </w:pPr>
      <w:r>
        <w:rPr>
          <w:rFonts w:ascii="Calibri" w:hAnsi="Calibri"/>
          <w:b/>
          <w:color w:val="507C82"/>
          <w:sz w:val="22"/>
        </w:rPr>
        <w:t>Enhanced template for refurbishment and alteration work while the premises remain in use</w:t>
      </w:r>
    </w:p>
    <w:p>
      <w:pPr>
        <w:pStyle w:val="Guidance"/>
      </w:pPr>
      <w:r>
        <w:t>Companion working resource to The Pre-Construction Information Workbook. Adapt this template to the scale, complexity and risk profile of the project. Delete guidance text before formal issue.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Project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Building / area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Normal building use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Client operational lead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Principal Designer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  <w:tr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shd w:fill="EAF0F1"/>
          </w:tcPr>
          <w:p>
            <w:r>
              <w:rPr>
                <w:rFonts w:ascii="Aptos" w:hAnsi="Aptos"/>
                <w:b/>
                <w:sz w:val="18"/>
              </w:rPr>
              <w:t>Revision / date</w:t>
            </w:r>
          </w:p>
        </w:tc>
        <w:tc>
          <w:tcPr>
            <w:tcW w:type="dxa" w:w="741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ptos" w:hAnsi="Aptos"/>
                <w:sz w:val="19"/>
              </w:rPr>
              <w:t>[Insert]</w:t>
            </w:r>
          </w:p>
        </w:tc>
      </w:tr>
    </w:tbl>
    <w:p>
      <w:pPr>
        <w:spacing w:after="0"/>
      </w:pPr>
    </w:p>
    <w:p>
      <w:pPr>
        <w:pStyle w:val="Heading1"/>
      </w:pPr>
      <w:r>
        <w:t>1. Project and occupied-area scope</w:t>
      </w:r>
    </w:p>
    <w:p>
      <w:r>
        <w:t>Define the construction work and the operational areas that remain live.</w:t>
      </w:r>
    </w:p>
    <w:p>
      <w:pPr>
        <w:pStyle w:val="Field"/>
      </w:pPr>
      <w:r>
        <w:rPr>
          <w:b/>
        </w:rPr>
        <w:t xml:space="preserve">Work areas: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Occupied adjacent areas: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Public / user routes: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Shared entrances / lifts / stairs: </w:t>
      </w:r>
      <w:r>
        <w:rPr>
          <w:color w:val="507C82"/>
        </w:rPr>
        <w:t>[Complete for this project]</w:t>
      </w:r>
    </w:p>
    <w:p>
      <w:pPr>
        <w:pStyle w:val="Heading1"/>
      </w:pPr>
      <w:r>
        <w:t>2. Building users and vulnerable groups</w:t>
      </w:r>
    </w:p>
    <w:p>
      <w:r>
        <w:t>Identify people whose presence changes the planning assumptions.</w:t>
      </w:r>
    </w:p>
    <w:p>
      <w:pPr>
        <w:pStyle w:val="Field"/>
      </w:pPr>
      <w:r>
        <w:rPr>
          <w:b/>
        </w:rPr>
        <w:t xml:space="preserve">Users / departments / tenants: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Children / vulnerable persons / clinical users if relevant: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Out-of-hours users: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Special events / peak periods: </w:t>
      </w:r>
      <w:r>
        <w:rPr>
          <w:color w:val="507C82"/>
        </w:rPr>
        <w:t>[Complete for this project]</w:t>
      </w:r>
    </w:p>
    <w:p>
      <w:pPr>
        <w:pStyle w:val="Heading1"/>
      </w:pPr>
      <w:r>
        <w:t>3. Separation and access</w:t>
      </w:r>
    </w:p>
    <w:p>
      <w:r>
        <w:t>Describe how construction and normal operations will be kept safely apart.</w:t>
      </w:r>
    </w:p>
    <w:p>
      <w:pPr>
        <w:pStyle w:val="Field"/>
      </w:pPr>
      <w:r>
        <w:rPr>
          <w:b/>
        </w:rPr>
        <w:t xml:space="preserve">Hoarding / barriers / secure doors: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Contractor route: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User route: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Delivery route: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Emergency access: </w:t>
      </w:r>
      <w:r>
        <w:rPr>
          <w:color w:val="507C82"/>
        </w:rPr>
        <w:t>[Complete for this project]</w:t>
      </w:r>
    </w:p>
    <w:p>
      <w:pPr>
        <w:pStyle w:val="Heading1"/>
      </w:pPr>
      <w:r>
        <w:t>4. Fire and emergency interfaces</w:t>
      </w:r>
    </w:p>
    <w:p>
      <w:r>
        <w:t>Construction changes can affect alarms, escape routes, compartmentation and emergency response.</w:t>
      </w:r>
    </w:p>
    <w:p>
      <w:pPr>
        <w:pStyle w:val="Field"/>
      </w:pPr>
      <w:r>
        <w:rPr>
          <w:b/>
        </w:rPr>
        <w:t xml:space="preserve">Alarm arrangements: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Temporary detector / alarm isolations: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Fire-stopping / compartmentation affected: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Escape routes affected: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Emergency contact / permits: </w:t>
      </w:r>
      <w:r>
        <w:rPr>
          <w:color w:val="507C82"/>
        </w:rPr>
        <w:t>[Complete for this project]</w:t>
      </w:r>
    </w:p>
    <w:p>
      <w:pPr>
        <w:pStyle w:val="Heading1"/>
      </w:pPr>
      <w:r>
        <w:t>5. Noise, dust, vibration and odour</w:t>
      </w:r>
    </w:p>
    <w:p>
      <w:r>
        <w:t>State operational limits rather than simply saying “minimise nuisance”.</w:t>
      </w:r>
    </w:p>
    <w:p>
      <w:pPr>
        <w:pStyle w:val="Field"/>
      </w:pPr>
      <w:r>
        <w:rPr>
          <w:b/>
        </w:rPr>
        <w:t xml:space="preserve">Noisy-work windows: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Dust-sensitive activities / areas: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Vibration-sensitive equipment / users: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Odour / fume constraints: </w:t>
      </w:r>
      <w:r>
        <w:rPr>
          <w:color w:val="507C82"/>
        </w:rPr>
        <w:t>[Complete for this project]</w:t>
      </w:r>
    </w:p>
    <w:p>
      <w:pPr>
        <w:pStyle w:val="Heading1"/>
      </w:pPr>
      <w:r>
        <w:t>6. Services, shutdowns and business continuity</w:t>
      </w:r>
    </w:p>
    <w:p>
      <w:r>
        <w:t>Identify critical services and the process for planned interruption.</w:t>
      </w:r>
    </w:p>
    <w:p>
      <w:pPr>
        <w:pStyle w:val="Field"/>
      </w:pPr>
      <w:r>
        <w:rPr>
          <w:b/>
        </w:rPr>
        <w:t xml:space="preserve">Critical services: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Permitted shutdown windows: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Notice / approval periods: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Authorised isolators: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Temporary services / resilience requirements: </w:t>
      </w:r>
      <w:r>
        <w:rPr>
          <w:color w:val="507C82"/>
        </w:rPr>
        <w:t>[Complete for this project]</w:t>
      </w:r>
    </w:p>
    <w:p>
      <w:pPr>
        <w:pStyle w:val="Heading1"/>
      </w:pPr>
      <w:r>
        <w:t>7. Security, safeguarding and conduct</w:t>
      </w:r>
    </w:p>
    <w:p>
      <w:r>
        <w:t>Occupied premises often require more than ordinary construction-site security.</w:t>
      </w:r>
    </w:p>
    <w:p>
      <w:pPr>
        <w:pStyle w:val="Field"/>
      </w:pPr>
      <w:r>
        <w:rPr>
          <w:b/>
        </w:rPr>
        <w:t xml:space="preserve">Passes / sign-in: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Restricted areas: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Safeguarding / escorts: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Photography restrictions: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Keys / access cards: </w:t>
      </w:r>
      <w:r>
        <w:rPr>
          <w:color w:val="507C82"/>
        </w:rPr>
        <w:t>[Complete for this project]</w:t>
      </w:r>
    </w:p>
    <w:p>
      <w:pPr>
        <w:pStyle w:val="Heading1"/>
      </w:pPr>
      <w:r>
        <w:t>8. Welfare and housekeeping</w:t>
      </w:r>
    </w:p>
    <w:p>
      <w:r>
        <w:t>Avoid uncontrolled mixing of construction facilities and building-user facilities.</w:t>
      </w:r>
    </w:p>
    <w:p>
      <w:pPr>
        <w:pStyle w:val="Field"/>
      </w:pPr>
      <w:r>
        <w:rPr>
          <w:b/>
        </w:rPr>
        <w:t xml:space="preserve">Contractor welfare: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Waste routes / removal times: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Cleaning expectations: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Storage restrictions: </w:t>
      </w:r>
      <w:r>
        <w:rPr>
          <w:color w:val="507C82"/>
        </w:rPr>
        <w:t>[Complete for this project]</w:t>
      </w:r>
    </w:p>
    <w:p>
      <w:pPr>
        <w:pStyle w:val="Heading1"/>
      </w:pPr>
      <w:r>
        <w:t>9. Significant risks and information gaps</w:t>
      </w:r>
    </w:p>
    <w:p>
      <w:r>
        <w:t>Capture project-specific hazards and unknowns.</w:t>
      </w:r>
    </w:p>
    <w:p>
      <w:pPr>
        <w:pStyle w:val="Field"/>
      </w:pPr>
      <w:r>
        <w:rPr>
          <w:b/>
        </w:rPr>
        <w:t xml:space="preserve">Asbestos / hazardous materials: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Existing services: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Structure / load limits: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Access / work at height: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Unknown information / further surveys: </w:t>
      </w:r>
      <w:r>
        <w:rPr>
          <w:color w:val="507C82"/>
        </w:rPr>
        <w:t>[Complete for this project]</w:t>
      </w:r>
    </w:p>
    <w:p>
      <w:pPr>
        <w:pStyle w:val="Heading1"/>
      </w:pPr>
      <w:r>
        <w:t>10. Communication and change control</w:t>
      </w:r>
    </w:p>
    <w:p>
      <w:r>
        <w:t>Set the operational coordination process.</w:t>
      </w:r>
    </w:p>
    <w:p>
      <w:pPr>
        <w:pStyle w:val="Field"/>
      </w:pPr>
      <w:r>
        <w:rPr>
          <w:b/>
        </w:rPr>
        <w:t xml:space="preserve">Daily / weekly coordination: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Who can approve disruptive work: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Emergency change contact: </w:t>
      </w:r>
      <w:r>
        <w:rPr>
          <w:color w:val="507C82"/>
        </w:rPr>
        <w:t>[Complete for this project]</w:t>
      </w:r>
    </w:p>
    <w:p>
      <w:pPr>
        <w:pStyle w:val="Field"/>
      </w:pPr>
      <w:r>
        <w:rPr>
          <w:b/>
        </w:rPr>
        <w:t xml:space="preserve">How revised PCI information will be issued: </w:t>
      </w:r>
      <w:r>
        <w:rPr>
          <w:color w:val="507C82"/>
        </w:rPr>
        <w:t>[Complete for this project]</w:t>
      </w:r>
    </w:p>
    <w:p>
      <w:pPr>
        <w:pStyle w:val="Heading1"/>
      </w:pPr>
      <w:r>
        <w:t>Operational interface schedule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9"/>
        <w:gridCol w:w="1979"/>
        <w:gridCol w:w="1979"/>
        <w:gridCol w:w="1979"/>
        <w:gridCol w:w="1979"/>
      </w:tblGrid>
      <w:tr>
        <w:trPr>
          <w:tblHeader w:val="true"/>
        </w:trPr>
        <w:tc>
          <w:tcPr>
            <w:tcW w:type="dxa" w:w="2448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Activity / interface</w:t>
            </w:r>
          </w:p>
        </w:tc>
        <w:tc>
          <w:tcPr>
            <w:tcW w:type="dxa" w:w="2088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Who may be affected</w:t>
            </w:r>
          </w:p>
        </w:tc>
        <w:tc>
          <w:tcPr>
            <w:tcW w:type="dxa" w:w="2880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Restriction / control</w:t>
            </w:r>
          </w:p>
        </w:tc>
        <w:tc>
          <w:tcPr>
            <w:tcW w:type="dxa" w:w="1296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Notice required</w:t>
            </w:r>
          </w:p>
        </w:tc>
        <w:tc>
          <w:tcPr>
            <w:tcW w:type="dxa" w:w="1368"/>
            <w:shd w:fill="27485A"/>
            <w:tcMar>
              <w:top w:w="60" w:type="dxa"/>
              <w:start w:w="70" w:type="dxa"/>
              <w:bottom w:w="60" w:type="dxa"/>
              <w:end w:w="70" w:type="dxa"/>
            </w:tcMar>
          </w:tcPr>
          <w:p>
            <w:r>
              <w:rPr>
                <w:rFonts w:ascii="Aptos" w:hAnsi="Aptos"/>
                <w:b/>
                <w:color w:val="FFFFFF"/>
                <w:sz w:val="16"/>
              </w:rPr>
              <w:t>Approval / owner</w:t>
            </w:r>
          </w:p>
        </w:tc>
      </w:tr>
      <w:tr>
        <w:tc>
          <w:tcPr>
            <w:tcW w:type="dxa" w:w="244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3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44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3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44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3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44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3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44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3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44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3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44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3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  <w:tr>
        <w:tc>
          <w:tcPr>
            <w:tcW w:type="dxa" w:w="244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2880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296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  <w:tc>
          <w:tcPr>
            <w:tcW w:type="dxa" w:w="1368"/>
            <w:tcMar>
              <w:top w:w="70" w:type="dxa"/>
              <w:start w:w="70" w:type="dxa"/>
              <w:bottom w:w="70" w:type="dxa"/>
              <w:end w:w="70" w:type="dxa"/>
            </w:tcMar>
            <w:vAlign w:val="top"/>
          </w:tcPr>
          <w:p>
            <w:pPr>
              <w:spacing w:after="0"/>
            </w:pPr>
          </w:p>
        </w:tc>
      </w:tr>
    </w:tbl>
    <w:p>
      <w:pPr>
        <w:spacing w:after="0"/>
      </w:pPr>
    </w:p>
    <w:sectPr w:rsidR="00FC693F" w:rsidRPr="0006063C" w:rsidSect="00034616">
      <w:footerReference w:type="default" r:id="rId9"/>
      <w:pgSz w:w="11909" w:h="16834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F696E"/>
        <w:sz w:val="15"/>
      </w:rPr>
      <w:t>PCI Workbook reader resource  |  Editable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4" w:lineRule="auto"/>
    </w:pPr>
    <w:rPr>
      <w:rFonts w:ascii="Aptos" w:hAnsi="Aptos"/>
      <w:color w:val="2D373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7485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507C82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7485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7485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ance">
    <w:name w:val="Guidance"/>
    <w:pPr>
      <w:spacing w:after="100"/>
    </w:pPr>
    <w:rPr>
      <w:rFonts w:ascii="Aptos" w:hAnsi="Aptos"/>
      <w:i/>
      <w:color w:val="5F696E"/>
      <w:sz w:val="18"/>
    </w:rPr>
  </w:style>
  <w:style w:type="paragraph" w:customStyle="1" w:styleId="Field">
    <w:name w:val="Field"/>
    <w:pPr>
      <w:spacing w:after="80"/>
    </w:pPr>
    <w:rPr>
      <w:rFonts w:ascii="Aptos" w:hAnsi="Aptos"/>
      <w:color w:val="2D37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