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Completion Checklist</w:t>
      </w:r>
    </w:p>
    <w:p>
      <w:pPr>
        <w:spacing w:after="200"/>
      </w:pPr>
      <w:r>
        <w:rPr>
          <w:i/>
          <w:color w:val="666666"/>
          <w:sz w:val="21"/>
        </w:rPr>
        <w:t>Companion working resource for Building Contract Administration in Practice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Supports a structured inspection and evidence review before the Contract Administrator decides whether the contractual test for Practical Completion has been met.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Certification decision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Practical Completion is a certification decision under the contract. This checklist supports that judgement but does not create a separate test or permit certification subject to substantial incomplete work.</w:t>
            </w:r>
          </w:p>
        </w:tc>
      </w:tr>
    </w:tbl>
    <w:p>
      <w:pPr>
        <w:pStyle w:val="Heading1"/>
      </w:pPr>
      <w:r>
        <w:t>Inspection details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section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form, edition and clause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Date for Completion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Inspection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Contractor attendees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Client / consultant attendees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Proposed certification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Outstanding-information deadline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1. Works and quality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works or section are complete for their intended use, subject only to minor residual items compatible with the contractual test.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No material element remains incomplete, unsafe, unusable or dependent on temporary arrangements.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Testing, commissioning, demonstrations and witnessing are complete with acceptable results.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Statutory approvals, inspections and certificates required for occupation or use are available.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Fire stopping, compartmentation, life-safety systems and escape arrangements are complete and evidenced.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Cleaning, making good, protection removal and waste clearance are satisfactory.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1.7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Snagging has not been used to conceal substantive incomplete or defective work.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2. Handover and operation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Operating and maintenance information sufficient for safe use is available.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Training and demonstrations have been delivered to the correct operational staff.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Keys, access controls, passwords, licences, spares, tools and consumables are handed over.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As-built drawings, asset data and commissioning records are received to the agreed status.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Emergency, shutdown, isolation and call-out arrangements are understood.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Insurance, security, utilities and operational ownership changeovers are ready.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3. Contract and commercial consequences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Any sectional completion, partial possession or early-use arrangements are correctly distinguished.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effect on liquidated damages / delay damages is recorded.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Retention release and payment consequences are diarised.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rectification period / defects date and reporting route are confirmed.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Outstanding warranties, bonds, approvals or documents are risk assessed and controlled.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certificate wording, date and distribution comply with the contract.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Decision record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Decision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Certify / Do not certify / Further inspection required.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Reasons and contractual basis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Minor outstanding items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Reference controlled schedule only.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Required evidence before issue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Certificate reference and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Authorised signatory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Distribution and diary actions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BUILDING CONTRACT ADMINISTRATION IN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