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Payment and Valuation Timeline</w:t>
      </w:r>
    </w:p>
    <w:p>
      <w:pPr>
        <w:spacing w:after="200"/>
      </w:pPr>
      <w:r>
        <w:rPr>
          <w:i/>
          <w:color w:val="666666"/>
          <w:sz w:val="21"/>
        </w:rPr>
        <w:t>Companion working resource for Building Contract Administration in Practice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600"/>
        <w:gridCol w:w="3272"/>
        <w:gridCol w:w="1600"/>
        <w:gridCol w:w="3272"/>
      </w:tblGrid>
      <w:tr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Project / organisation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Prepared by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Version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1.0</w:t>
            </w:r>
          </w:p>
        </w:tc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Issue date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8 September 2026</w:t>
            </w:r>
          </w:p>
        </w:tc>
      </w:tr>
    </w:tbl>
    <w:p>
      <w:pPr>
        <w:spacing w:before="160" w:after="160"/>
      </w:pPr>
      <w:r>
        <w:rPr>
          <w:b/>
          <w:color w:val="17365D"/>
        </w:rPr>
        <w:t xml:space="preserve">Purpose: </w:t>
      </w:r>
      <w:r>
        <w:t>A project-specific planning sheet for mapping the full payment cycle from valuation or assessment through notices and payment.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2CC"/>
          </w:tcPr>
          <w:p>
            <w:r>
              <w:rPr>
                <w:b/>
                <w:color w:val="7F6000"/>
              </w:rPr>
              <w:t>Date caution</w:t>
            </w:r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Complete the dates from the executed contract and applicable legislation. The sequence and periods vary by form, edition, amendments and payer arrangements. Never copy example dates into a live project without checking them.</w:t>
            </w:r>
          </w:p>
        </w:tc>
      </w:tr>
    </w:tbl>
    <w:p>
      <w:pPr>
        <w:pStyle w:val="Heading1"/>
      </w:pPr>
      <w:r>
        <w:t>Contract payment basis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600"/>
        <w:gridCol w:w="7144"/>
      </w:tblGrid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Contract form / edition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Relevant clause(s)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Valuation / assessment frequency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Due-date mechanism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Payment notice issuer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Client / CA / PM / specified person.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Pay less notice period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Final-date mechanism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Retention provisions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VAT / invoicing prerequisites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Payment contact and escalation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Project payment sequence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00"/>
        <w:gridCol w:w="2150"/>
        <w:gridCol w:w="1250"/>
        <w:gridCol w:w="1250"/>
        <w:gridCol w:w="1150"/>
        <w:gridCol w:w="2500"/>
        <w:gridCol w:w="844"/>
      </w:tblGrid>
      <w:tr>
        <w:tc>
          <w:tcPr>
            <w:tcW w:type="dxa" w:w="60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</w:rPr>
              <w:t>Stage</w:t>
            </w:r>
          </w:p>
        </w:tc>
        <w:tc>
          <w:tcPr>
            <w:tcW w:type="dxa" w:w="21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</w:rPr>
              <w:t>Trigger / start</w:t>
            </w:r>
          </w:p>
        </w:tc>
        <w:tc>
          <w:tcPr>
            <w:tcW w:type="dxa" w:w="12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</w:rPr>
              <w:t>Contract period</w:t>
            </w:r>
          </w:p>
        </w:tc>
        <w:tc>
          <w:tcPr>
            <w:tcW w:type="dxa" w:w="12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</w:rPr>
              <w:t>Calculated date</w:t>
            </w:r>
          </w:p>
        </w:tc>
        <w:tc>
          <w:tcPr>
            <w:tcW w:type="dxa" w:w="11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</w:rPr>
              <w:t>Owner</w:t>
            </w:r>
          </w:p>
        </w:tc>
        <w:tc>
          <w:tcPr>
            <w:tcW w:type="dxa" w:w="250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</w:rPr>
              <w:t>Record / notice</w:t>
            </w:r>
          </w:p>
        </w:tc>
        <w:tc>
          <w:tcPr>
            <w:tcW w:type="dxa" w:w="844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</w:rPr>
              <w:t>Completed</w:t>
            </w:r>
          </w:p>
        </w:tc>
      </w:tr>
      <w:tr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01</w:t>
            </w:r>
          </w:p>
        </w:tc>
        <w:tc>
          <w:tcPr>
            <w:tcW w:type="dxa" w:w="21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Valuation / assessment date</w:t>
            </w:r>
          </w:p>
        </w:tc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1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8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☐</w:t>
            </w:r>
          </w:p>
        </w:tc>
      </w:tr>
      <w:tr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02</w:t>
            </w:r>
          </w:p>
        </w:tc>
        <w:tc>
          <w:tcPr>
            <w:tcW w:type="dxa" w:w="21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Application received</w:t>
            </w:r>
          </w:p>
        </w:tc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1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8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☐</w:t>
            </w:r>
          </w:p>
        </w:tc>
      </w:tr>
      <w:tr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03</w:t>
            </w:r>
          </w:p>
        </w:tc>
        <w:tc>
          <w:tcPr>
            <w:tcW w:type="dxa" w:w="21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Site valuation and evidence check</w:t>
            </w:r>
          </w:p>
        </w:tc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1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8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☐</w:t>
            </w:r>
          </w:p>
        </w:tc>
      </w:tr>
      <w:tr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04</w:t>
            </w:r>
          </w:p>
        </w:tc>
        <w:tc>
          <w:tcPr>
            <w:tcW w:type="dxa" w:w="21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Amount due assessed</w:t>
            </w:r>
          </w:p>
        </w:tc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1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8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☐</w:t>
            </w:r>
          </w:p>
        </w:tc>
      </w:tr>
      <w:tr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05</w:t>
            </w:r>
          </w:p>
        </w:tc>
        <w:tc>
          <w:tcPr>
            <w:tcW w:type="dxa" w:w="21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Payment notice / certificate</w:t>
            </w:r>
          </w:p>
        </w:tc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1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8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☐</w:t>
            </w:r>
          </w:p>
        </w:tc>
      </w:tr>
      <w:tr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06</w:t>
            </w:r>
          </w:p>
        </w:tc>
        <w:tc>
          <w:tcPr>
            <w:tcW w:type="dxa" w:w="21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Invoice or VAT requirement</w:t>
            </w:r>
          </w:p>
        </w:tc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1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8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☐</w:t>
            </w:r>
          </w:p>
        </w:tc>
      </w:tr>
      <w:tr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07</w:t>
            </w:r>
          </w:p>
        </w:tc>
        <w:tc>
          <w:tcPr>
            <w:tcW w:type="dxa" w:w="21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Pay less notice deadline</w:t>
            </w:r>
          </w:p>
        </w:tc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1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8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☐</w:t>
            </w:r>
          </w:p>
        </w:tc>
      </w:tr>
      <w:tr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08</w:t>
            </w:r>
          </w:p>
        </w:tc>
        <w:tc>
          <w:tcPr>
            <w:tcW w:type="dxa" w:w="21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Final date for payment</w:t>
            </w:r>
          </w:p>
        </w:tc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1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8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☐</w:t>
            </w:r>
          </w:p>
        </w:tc>
      </w:tr>
      <w:tr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09</w:t>
            </w:r>
          </w:p>
        </w:tc>
        <w:tc>
          <w:tcPr>
            <w:tcW w:type="dxa" w:w="21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Payment confirmed</w:t>
            </w:r>
          </w:p>
        </w:tc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1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8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☐</w:t>
            </w:r>
          </w:p>
        </w:tc>
      </w:tr>
      <w:tr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10</w:t>
            </w:r>
          </w:p>
        </w:tc>
        <w:tc>
          <w:tcPr>
            <w:tcW w:type="dxa" w:w="21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Underpayment / dispute escalation</w:t>
            </w:r>
          </w:p>
        </w:tc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1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8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☐</w:t>
            </w:r>
          </w:p>
        </w:tc>
      </w:tr>
      <w:tr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11</w:t>
            </w:r>
          </w:p>
        </w:tc>
        <w:tc>
          <w:tcPr>
            <w:tcW w:type="dxa" w:w="21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Retention release milestone</w:t>
            </w:r>
          </w:p>
        </w:tc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1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8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☐</w:t>
            </w:r>
          </w:p>
        </w:tc>
      </w:tr>
      <w:tr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12</w:t>
            </w:r>
          </w:p>
        </w:tc>
        <w:tc>
          <w:tcPr>
            <w:tcW w:type="dxa" w:w="21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Final payment milestone</w:t>
            </w:r>
          </w:p>
        </w:tc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1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8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☐</w:t>
            </w:r>
          </w:p>
        </w:tc>
      </w:tr>
    </w:tbl>
    <w:p>
      <w:pPr>
        <w:pStyle w:val="Heading1"/>
      </w:pPr>
      <w:r>
        <w:t>Controls and review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600"/>
        <w:gridCol w:w="7144"/>
      </w:tblGrid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Calendar owner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Internal approval lead time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Allow time before the contractual notice deadline.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Cover during absence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Evidence retained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Application, valuation, certificate, notices, invoice and payment confirmation.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First-cycle review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Test the date calculation before relying on it.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Disputed amount route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</w:tbl>
    <w:p/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2CC"/>
          </w:tcPr>
          <w:p>
            <w:r>
              <w:rPr>
                <w:b/>
                <w:color w:val="7F6000"/>
              </w:rPr>
              <w:t>Important use note</w:t>
            </w:r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This document is a practical working template, not legal, contractual or technical advice. Adapt it to the project, organisation, executed contract, amendments, applicable law and competent-person advice. Retain supporting evidence and record why any item is marked not applicable.</w:t>
            </w:r>
          </w:p>
        </w:tc>
      </w:tr>
    </w:tbl>
    <w:p>
      <w:pPr>
        <w:jc w:val="center"/>
      </w:pPr>
      <w:r>
        <w:rPr>
          <w:i/>
          <w:color w:val="666666"/>
          <w:sz w:val="16"/>
        </w:rPr>
        <w:t>Ink &amp; Lintel | Version 1.0 | 8 September 2026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80" w:bottom="1020" w:left="1080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color w:val="666666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left"/>
    </w:pPr>
    <w:r>
      <w:rPr>
        <w:b/>
        <w:color w:val="666666"/>
        <w:sz w:val="16"/>
      </w:rPr>
      <w:t>INK &amp; LINTEL  |  BUILDING CONTRACT ADMINISTRATION IN PRACTICE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E75B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75B6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17365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