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Contract Particulars / Key Information Summary</w:t>
      </w:r>
    </w:p>
    <w:p>
      <w:pPr>
        <w:spacing w:after="200"/>
      </w:pPr>
      <w:r>
        <w:rPr>
          <w:i/>
          <w:color w:val="666666"/>
          <w:sz w:val="21"/>
        </w:rPr>
        <w:t>Companion working resource for Building Contract Administration in Practice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600"/>
        <w:gridCol w:w="3272"/>
        <w:gridCol w:w="1600"/>
        <w:gridCol w:w="3272"/>
      </w:tblGrid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Project / organisation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Prepared by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Version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1.0</w:t>
            </w:r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Issue date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8 September 2026</w:t>
            </w:r>
          </w:p>
        </w:tc>
      </w:tr>
    </w:tbl>
    <w:p>
      <w:pPr>
        <w:spacing w:before="160" w:after="160"/>
      </w:pPr>
      <w:r>
        <w:rPr>
          <w:b/>
          <w:color w:val="17365D"/>
        </w:rPr>
        <w:t xml:space="preserve">Purpose: </w:t>
      </w:r>
      <w:r>
        <w:t>A concise working summary of the executed contract. It does not replace the contract and should always be checked against the signed documents.</w:t>
      </w:r>
    </w:p>
    <w:p>
      <w:pPr>
        <w:pStyle w:val="Heading1"/>
      </w:pPr>
      <w:r>
        <w:t>1. Parties and administration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Employer / Client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Legal entity, address and contact.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Contractor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Legal entity, address and contact.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Contract Administrator / Project Manager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Named person and organisation.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Quantity Surveyor / Cost Manager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Principal Designer / Designer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Principal Contractor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Notice addresses and email rules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Record exactly as executed.</w:t>
            </w:r>
          </w:p>
        </w:tc>
      </w:tr>
    </w:tbl>
    <w:p>
      <w:pPr>
        <w:pStyle w:val="Heading1"/>
      </w:pPr>
      <w:r>
        <w:t>2. Contract and documents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Contract form and edition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Main / secondary options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For NEC or other relevant forms.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Amendment schedule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Reference and date.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Contract documents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Drawings, specification, schedules, pricing and proposals.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Order of precedence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Where stated.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Governing law / dispute provisions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3. Dates and sections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Date of contract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Possession / access date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Date for Completion / Completion Date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Sections / sectional completion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Rectification period / defects date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Key programme submissions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Phasing or occupation constraints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4. Money and payment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Contract sum / Prices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Pricing basis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Interim valuation / assessment dates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Due date mechanism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Payment notice deadline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Pay less notice period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Final date for payment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Retention percentage and limit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Fluctuations / price adjustment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Liquidated damages / delay damages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5. Insurance and security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Works insurance option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Public liability requirement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Professional indemnity requirement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Performance bond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Parent company guarantee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Collateral warranties / third-party rights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Existing structures insurance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6. Communications and decisions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Permitted communication system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Reply period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Instruction / change authority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Client approval thresholds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Programme requirements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Early warning / risk arrangements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Document control reference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</w:tbl>
    <w:p/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2CC"/>
          </w:tcPr>
          <w:p>
            <w:r>
              <w:rPr>
                <w:b/>
                <w:color w:val="7F6000"/>
              </w:rPr>
              <w:t>Important use note</w:t>
            </w:r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This document is a practical working template, not legal, contractual or technical advice. Adapt it to the project, organisation, executed contract, amendments, applicable law and competent-person advice. Retain supporting evidence and record why any item is marked not applicable.</w:t>
            </w:r>
          </w:p>
        </w:tc>
      </w:tr>
    </w:tbl>
    <w:p>
      <w:pPr>
        <w:jc w:val="center"/>
      </w:pPr>
      <w:r>
        <w:rPr>
          <w:i/>
          <w:color w:val="666666"/>
          <w:sz w:val="16"/>
        </w:rPr>
        <w:t>Ink &amp; Lintel | Version 1.0 | 8 September 2026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80" w:bottom="1020" w:left="1080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666666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left"/>
    </w:pPr>
    <w:r>
      <w:rPr>
        <w:b/>
        <w:color w:val="666666"/>
        <w:sz w:val="16"/>
      </w:rPr>
      <w:t>INK &amp; LINTEL  |  BUILDING CONTRACT ADMINISTRATION IN PRACTICE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E75B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75B6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