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Contract Administration Checklist</w:t>
      </w:r>
    </w:p>
    <w:p>
      <w:pPr>
        <w:spacing w:after="200"/>
      </w:pPr>
      <w:r>
        <w:rPr>
          <w:i/>
          <w:color w:val="666666"/>
          <w:sz w:val="21"/>
        </w:rPr>
        <w:t>Companion working resource for Building Contract Administration in Practice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600"/>
        <w:gridCol w:w="3272"/>
        <w:gridCol w:w="1600"/>
        <w:gridCol w:w="3272"/>
      </w:tblGrid>
      <w:tr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Project / organisation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Prepared by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Version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1.0</w:t>
            </w:r>
          </w:p>
        </w:tc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Issue date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8 September 2026</w:t>
            </w:r>
          </w:p>
        </w:tc>
      </w:tr>
    </w:tbl>
    <w:p>
      <w:pPr>
        <w:spacing w:before="160" w:after="160"/>
      </w:pPr>
      <w:r>
        <w:rPr>
          <w:b/>
          <w:color w:val="17365D"/>
        </w:rPr>
        <w:t xml:space="preserve">Purpose: </w:t>
      </w:r>
      <w:r>
        <w:t>A client-side prompt covering appointment, contract setup, communications, payment, change, time, completion and close-out.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744"/>
      </w:tblGrid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2CC"/>
          </w:tcPr>
          <w:p>
            <w:r>
              <w:rPr>
                <w:b/>
                <w:color w:val="7F6000"/>
              </w:rPr>
              <w:t>Contract first</w:t>
            </w:r>
          </w:p>
        </w:tc>
      </w:tr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Use only with the executed contract. Confirm the form, edition, amendments, Contract Particulars / Contract Data, communication rules and delegated authority before administering any event.</w:t>
            </w:r>
          </w:p>
        </w:tc>
      </w:tr>
    </w:tbl>
    <w:p>
      <w:pPr>
        <w:pStyle w:val="Heading1"/>
      </w:pPr>
      <w:r>
        <w:t>1. Appointment and authority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20"/>
        <w:gridCol w:w="4050"/>
        <w:gridCol w:w="2300"/>
        <w:gridCol w:w="1350"/>
        <w:gridCol w:w="1424"/>
      </w:tblGrid>
      <w:tr>
        <w:tc>
          <w:tcPr>
            <w:tcW w:type="dxa" w:w="62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Ref</w:t>
            </w:r>
          </w:p>
        </w:tc>
        <w:tc>
          <w:tcPr>
            <w:tcW w:type="dxa" w:w="40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Check / action</w:t>
            </w:r>
          </w:p>
        </w:tc>
        <w:tc>
          <w:tcPr>
            <w:tcW w:type="dxa" w:w="230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Evidence / response</w:t>
            </w:r>
          </w:p>
        </w:tc>
        <w:tc>
          <w:tcPr>
            <w:tcW w:type="dxa" w:w="13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Owner / date</w:t>
            </w:r>
          </w:p>
        </w:tc>
        <w:tc>
          <w:tcPr>
            <w:tcW w:type="dxa" w:w="1424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Status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1.1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Written appointment and scope are in place, including services, limitations and insurance.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1.2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The named Contract Administrator / Project Manager and deputies match the executed contract.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1.3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Client delegations, approval thresholds and reserved decisions are recorded.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1.4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Conflicts of interest and the duty to act fairly where the contract requires assessment or certification are understood.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1.5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No person is giving contractual directions outside the agreed communication route.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</w:tbl>
    <w:p>
      <w:pPr>
        <w:pStyle w:val="Heading1"/>
      </w:pPr>
      <w:r>
        <w:t>2. Contract setup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20"/>
        <w:gridCol w:w="4050"/>
        <w:gridCol w:w="2300"/>
        <w:gridCol w:w="1350"/>
        <w:gridCol w:w="1424"/>
      </w:tblGrid>
      <w:tr>
        <w:tc>
          <w:tcPr>
            <w:tcW w:type="dxa" w:w="62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Ref</w:t>
            </w:r>
          </w:p>
        </w:tc>
        <w:tc>
          <w:tcPr>
            <w:tcW w:type="dxa" w:w="40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Check / action</w:t>
            </w:r>
          </w:p>
        </w:tc>
        <w:tc>
          <w:tcPr>
            <w:tcW w:type="dxa" w:w="230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Evidence / response</w:t>
            </w:r>
          </w:p>
        </w:tc>
        <w:tc>
          <w:tcPr>
            <w:tcW w:type="dxa" w:w="13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Owner / date</w:t>
            </w:r>
          </w:p>
        </w:tc>
        <w:tc>
          <w:tcPr>
            <w:tcW w:type="dxa" w:w="1424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Status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2.1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Executed contract, schedules, particulars / Contract Data, amendments and listed documents are complete.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2.2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Scope, drawings, specifications, pricing documents and contractor proposals are version controlled.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2.3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Possession / access dates, completion dates, sections, damages, retention and payment periods are recorded.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2.4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Bonds, guarantees, warranties, insurance and third-party rights are diarised.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2.5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Notice addresses, electronic communication rules and reply periods are confirmed.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2.6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Registers, meeting arrangements and document naming are established.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</w:tbl>
    <w:p>
      <w:pPr>
        <w:pStyle w:val="Heading1"/>
      </w:pPr>
      <w:r>
        <w:t>3. During the works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20"/>
        <w:gridCol w:w="4050"/>
        <w:gridCol w:w="2300"/>
        <w:gridCol w:w="1350"/>
        <w:gridCol w:w="1424"/>
      </w:tblGrid>
      <w:tr>
        <w:tc>
          <w:tcPr>
            <w:tcW w:type="dxa" w:w="62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Ref</w:t>
            </w:r>
          </w:p>
        </w:tc>
        <w:tc>
          <w:tcPr>
            <w:tcW w:type="dxa" w:w="40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Check / action</w:t>
            </w:r>
          </w:p>
        </w:tc>
        <w:tc>
          <w:tcPr>
            <w:tcW w:type="dxa" w:w="230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Evidence / response</w:t>
            </w:r>
          </w:p>
        </w:tc>
        <w:tc>
          <w:tcPr>
            <w:tcW w:type="dxa" w:w="13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Owner / date</w:t>
            </w:r>
          </w:p>
        </w:tc>
        <w:tc>
          <w:tcPr>
            <w:tcW w:type="dxa" w:w="1424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Status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3.1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Progress, programme, quality, design information, safety interfaces and risks are reviewed.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3.2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Instructions are authorised, clear, numbered and linked to supporting information.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3.3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RFIs and informal directions are controlled and do not become unrecorded changes.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3.4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Quotations are checked for scope, quantity, rates, omissions, time and consequential effect.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3.5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Delay notices and extension-of-time matters are assessed under the correct contractual test.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3.6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Payment dates, notices, certificates and evidence are managed to the executed contract.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3.7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Records remain contemporaneous: minutes, photographs, programmes, correspondence and site reports.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</w:tbl>
    <w:p>
      <w:pPr>
        <w:pStyle w:val="Heading1"/>
      </w:pPr>
      <w:r>
        <w:t>4. Completion and close-out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20"/>
        <w:gridCol w:w="4050"/>
        <w:gridCol w:w="2300"/>
        <w:gridCol w:w="1350"/>
        <w:gridCol w:w="1424"/>
      </w:tblGrid>
      <w:tr>
        <w:tc>
          <w:tcPr>
            <w:tcW w:type="dxa" w:w="62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Ref</w:t>
            </w:r>
          </w:p>
        </w:tc>
        <w:tc>
          <w:tcPr>
            <w:tcW w:type="dxa" w:w="40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Check / action</w:t>
            </w:r>
          </w:p>
        </w:tc>
        <w:tc>
          <w:tcPr>
            <w:tcW w:type="dxa" w:w="230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Evidence / response</w:t>
            </w:r>
          </w:p>
        </w:tc>
        <w:tc>
          <w:tcPr>
            <w:tcW w:type="dxa" w:w="13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Owner / date</w:t>
            </w:r>
          </w:p>
        </w:tc>
        <w:tc>
          <w:tcPr>
            <w:tcW w:type="dxa" w:w="1424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Status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4.1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Practical Completion is assessed against the contract, not commercial pressure or occupancy alone.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4.2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Handover information, training, keys, testing, statutory approvals and operational readiness are checked.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4.3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Insurance, security, damages, retention and defects consequences are actioned following certification.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4.4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Defects are recorded, issued, tracked, verified and closed.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4.5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Final account, loss and expense / compensation events and remaining adjustments are resolved.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4.6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Making good / Defects Certificate and final certificate / final assessment are issued when contractually due.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4.7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Project records and lessons are archived and continuing obligations are handed to the operational owner.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</w:tbl>
    <w:p/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744"/>
      </w:tblGrid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2CC"/>
          </w:tcPr>
          <w:p>
            <w:r>
              <w:rPr>
                <w:b/>
                <w:color w:val="7F6000"/>
              </w:rPr>
              <w:t>Important use note</w:t>
            </w:r>
          </w:p>
        </w:tc>
      </w:tr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This document is a practical working template, not legal, contractual or technical advice. Adapt it to the project, organisation, executed contract, amendments, applicable law and competent-person advice. Retain supporting evidence and record why any item is marked not applicable.</w:t>
            </w:r>
          </w:p>
        </w:tc>
      </w:tr>
    </w:tbl>
    <w:p>
      <w:pPr>
        <w:jc w:val="center"/>
      </w:pPr>
      <w:r>
        <w:rPr>
          <w:i/>
          <w:color w:val="666666"/>
          <w:sz w:val="16"/>
        </w:rPr>
        <w:t>Ink &amp; Lintel | Version 1.0 | 8 September 2026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80" w:bottom="1020" w:left="1080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color w:val="666666"/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left"/>
    </w:pPr>
    <w:r>
      <w:rPr>
        <w:b/>
        <w:color w:val="666666"/>
        <w:sz w:val="16"/>
      </w:rPr>
      <w:t>INK &amp; LINTEL  |  BUILDING CONTRACT ADMINISTRATION IN PRACTICE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E75B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75B6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17365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