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Ninety-Day Compliance Recovery Plan</w:t>
      </w:r>
    </w:p>
    <w:p>
      <w:pPr>
        <w:spacing w:after="200"/>
      </w:pPr>
      <w:r>
        <w:rPr>
          <w:i/>
          <w:color w:val="666666"/>
          <w:sz w:val="21"/>
        </w:rPr>
        <w:t>Companion working resource for The Accidental Compliance Manager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600"/>
        <w:gridCol w:w="3272"/>
        <w:gridCol w:w="1600"/>
        <w:gridCol w:w="3272"/>
      </w:tblGrid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Project / organisation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Prepared by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Version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1.0</w:t>
            </w:r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Issue date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8 September 2026</w:t>
            </w:r>
          </w:p>
        </w:tc>
      </w:tr>
    </w:tbl>
    <w:p>
      <w:pPr>
        <w:spacing w:before="160" w:after="160"/>
      </w:pPr>
      <w:r>
        <w:rPr>
          <w:b/>
          <w:color w:val="17365D"/>
        </w:rPr>
        <w:t xml:space="preserve">Purpose: </w:t>
      </w:r>
      <w:r>
        <w:t>Structures the first ninety days of recovery where records, responsibilities, evidence or delivery are not sufficiently reliable to provide assurance.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2CC"/>
          </w:tcPr>
          <w:p>
            <w:r>
              <w:rPr>
                <w:b/>
                <w:color w:val="7F6000"/>
              </w:rPr>
              <w:t>Before starting</w:t>
            </w:r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The plan is not a substitute for immediate controls. Suspected imminent danger, statutory breach or serious life-safety failure should be escalated and controlled at once.</w:t>
            </w:r>
          </w:p>
        </w:tc>
      </w:tr>
    </w:tbl>
    <w:p>
      <w:pPr>
        <w:pStyle w:val="Heading1"/>
      </w:pPr>
      <w:r>
        <w:t>Recovery mandate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Reason for recovery plan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Scope and exclusions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Senior responsible owner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Recovery lead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Resources available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Risk acceptance authority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Day 30 / 60 / 90 review dates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Definition of recovered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Describe the evidence-based exit criteria.</w:t>
            </w:r>
          </w:p>
        </w:tc>
      </w:tr>
    </w:tbl>
    <w:p>
      <w:pPr>
        <w:pStyle w:val="Heading1"/>
      </w:pPr>
      <w:r>
        <w:t>Days 1–30 — Establish control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D01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Confirm immediate life-safety and statutory priorities; apply interim controls.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D02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Identify buildings, systems, dutyholders, providers and known gaps.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D03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Freeze misleading reporting and distinguish unknown from compliant.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D04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Create or cleanse the master compliance register and evidence index.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D05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Recover current certificates, reports, contracts, asset lists and action records.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D06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Assign owners and deputies; agree escalation and governance cadence.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D07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Triages overdue items and open defects by consequence, not age alone.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D08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Commission urgent competent-person review where internal knowledge is insufficient.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Days 31–60 — Verify and correct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D31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Sample evidence against assets and physical conditions.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D32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Validate frequencies, standards, contract scopes and provider competence.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D33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Complete urgent inspections, tests, remedial work and missing risk assessments.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D34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Link every material finding to an owner, date and closure evidence.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D35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Resolve access, data, procurement and resourcing blockers.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D36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Introduce exception-led reporting with explicit unknown and overdue positions.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D37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Escalate unresolved statutory or high-risk gaps to the proper decision-maker.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Days 61–90 — Embed assurance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D61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Complete a second evidence sample and test action closure.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D62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Agree the annual compliance plan, audit programme and management review cycle.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D63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Embed change-control triggers for projects, acquisitions and changes of use.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D64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Confirm document-control, retention and record-retrieval arrangements.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D65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Set performance measures that distinguish activity, compliance and assurance.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D66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Transfer residual actions into business-as-usual governance.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D67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Issue the Day 90 conclusion, remaining risk position and improvement plan.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Milestone review record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Day 30 outcome and decision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Day 60 outcome and decision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Day 90 assurance opinion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Residual high risks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Business-as-usual owner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Formal approval / date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</w:tbl>
    <w:p/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2CC"/>
          </w:tcPr>
          <w:p>
            <w:r>
              <w:rPr>
                <w:b/>
                <w:color w:val="7F6000"/>
              </w:rPr>
              <w:t>Important use note</w:t>
            </w:r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This document is a practical working template, not legal, contractual or technical advice. Adapt it to the project, organisation, executed contract, amendments, applicable law and competent-person advice. Retain supporting evidence and record why any item is marked not applicable.</w:t>
            </w:r>
          </w:p>
        </w:tc>
      </w:tr>
    </w:tbl>
    <w:p>
      <w:pPr>
        <w:jc w:val="center"/>
      </w:pPr>
      <w:r>
        <w:rPr>
          <w:i/>
          <w:color w:val="666666"/>
          <w:sz w:val="16"/>
        </w:rPr>
        <w:t>Ink &amp; Lintel | Version 1.0 | 8 September 2026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80" w:bottom="1020" w:left="1080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666666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left"/>
    </w:pPr>
    <w:r>
      <w:rPr>
        <w:b/>
        <w:color w:val="666666"/>
        <w:sz w:val="16"/>
      </w:rPr>
      <w:t>INK &amp; LINTEL  |  THE ACCIDENTAL COMPLIANCE MANAGER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E75B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75B6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