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Monthly Compliance Assurance Report Template</w:t>
      </w:r>
    </w:p>
    <w:p>
      <w:pPr>
        <w:spacing w:after="200"/>
      </w:pPr>
      <w:r>
        <w:rPr>
          <w:i/>
          <w:color w:val="666666"/>
          <w:sz w:val="21"/>
        </w:rPr>
        <w:t>Companion working resource for The Accidental Compliance Manager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Provides a concise exception-led report that distinguishes completed activity from evidenced assurance and directs management attention to material gaps.</w:t>
      </w:r>
    </w:p>
    <w:p>
      <w:pPr>
        <w:pStyle w:val="Heading1"/>
      </w:pPr>
      <w:r>
        <w:t>Reporting details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Reporting period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Report owner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Estate / portfolio covered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Governance meeting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Overall assurance rating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Green / Amber / Red / Unable to assure.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Previous report reference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1. Executive assurance statement</w:t>
      </w:r>
    </w:p>
    <w:p>
      <w:pPr>
        <w:spacing w:after="40"/>
      </w:pPr>
      <w:r>
        <w:rPr>
          <w:b/>
          <w:color w:val="17365D"/>
        </w:rPr>
        <w:t>Overall position</w:t>
      </w:r>
      <w:r>
        <w:t xml:space="preserve"> — State whether compliance is effectively controlled and evidenced.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Material change since last report</w:t>
      </w:r>
      <w:r>
        <w:t xml:space="preserve"> — Highlight deterioration, improvement or scope change.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Decision or support required</w:t>
      </w:r>
      <w:r>
        <w:t xml:space="preserve"> — Be explicit about resource, access, risk acceptance or escalation.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pStyle w:val="Heading1"/>
      </w:pPr>
      <w:r>
        <w:t>2. Headline indicators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Controls in scope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Total and change.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Compliant with current evidence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Number and percentage.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Action required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Number, materiality and trend.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Overdue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Number, oldest item and risk.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Unknown / not assessed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Number and reason.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High-priority open actions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Number and expected resolution.</w:t>
            </w:r>
          </w:p>
        </w:tc>
      </w:tr>
    </w:tbl>
    <w:p>
      <w:pPr>
        <w:pStyle w:val="Heading1"/>
      </w:pPr>
      <w:r>
        <w:t>3. Exceptions requiring attention</w:t>
      </w:r>
    </w:p>
    <w:p>
      <w:pPr>
        <w:spacing w:after="40"/>
      </w:pPr>
      <w:r>
        <w:rPr>
          <w:b/>
          <w:color w:val="17365D"/>
        </w:rPr>
        <w:t>Red-rated or legally significant matters</w:t>
      </w:r>
      <w:r>
        <w:t xml:space="preserve"> — State the requirement, exposure, interim controls, owner and target date.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Repeated or systemic failures</w:t>
      </w:r>
      <w:r>
        <w:t xml:space="preserve"> — Identify patterns rather than listing isolated jobs.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Evidence gaps</w:t>
      </w:r>
      <w:r>
        <w:t xml:space="preserve"> — Distinguish missing evidence from incomplete work.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Contractor or resource concerns</w:t>
      </w:r>
      <w:r>
        <w:t xml:space="preserve"> — Include competence, capacity and performance issues.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pStyle w:val="Heading1"/>
      </w:pPr>
      <w:r>
        <w:t>4. Delivery during the period</w:t>
      </w:r>
    </w:p>
    <w:p>
      <w:pPr>
        <w:spacing w:after="40"/>
      </w:pPr>
      <w:r>
        <w:rPr>
          <w:b/>
          <w:color w:val="17365D"/>
        </w:rPr>
        <w:t>Planned activity completed</w:t>
      </w:r>
      <w:r>
        <w:t xml:space="preserve"> — Summarise inspections, tests, maintenance and reviews.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Missed or deferred activity</w:t>
      </w:r>
      <w:r>
        <w:t xml:space="preserve"> — Give reason, risk review and revised date.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Audits and assurance sampling</w:t>
      </w:r>
      <w:r>
        <w:t xml:space="preserve"> — Summarise scope, result and actions.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Incidents, breaches and regulator contact</w:t>
      </w:r>
      <w:r>
        <w:t xml:space="preserve"> — State actual status and notifications.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pStyle w:val="Heading1"/>
      </w:pPr>
      <w:r>
        <w:t>5. Forward look</w:t>
      </w:r>
    </w:p>
    <w:p>
      <w:pPr>
        <w:spacing w:after="40"/>
      </w:pPr>
      <w:r>
        <w:rPr>
          <w:b/>
          <w:color w:val="17365D"/>
        </w:rPr>
        <w:t>Next-period priorities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Known shutdowns, access constraints or peaks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Changes in law, guidance, buildings or use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spacing w:after="40"/>
      </w:pPr>
      <w:r>
        <w:rPr>
          <w:b/>
          <w:color w:val="17365D"/>
        </w:rPr>
        <w:t>Actions for the governance group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FFF"/>
          </w:tcPr>
          <w:p>
            <w:r/>
          </w:p>
        </w:tc>
      </w:tr>
    </w:tbl>
    <w:p>
      <w:pPr>
        <w:pStyle w:val="Heading1"/>
      </w:pPr>
      <w:r>
        <w:t>6. Approval and distribution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 /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Reviewed by /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Accepted by /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Distribution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Next report due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THE ACCIDENTAL COMPLIANCE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