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Compliance Audit and Site Review Checklist</w:t>
      </w:r>
    </w:p>
    <w:p>
      <w:pPr>
        <w:spacing w:after="200"/>
      </w:pPr>
      <w:r>
        <w:rPr>
          <w:i/>
          <w:color w:val="666666"/>
          <w:sz w:val="21"/>
        </w:rPr>
        <w:t>Companion working resource for The Accidental Compliance Manager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Supports a structured review of the compliance system, sampled evidence and physical conditions without confusing a dashboard review with assurance.</w:t>
      </w:r>
    </w:p>
    <w:p>
      <w:pPr>
        <w:pStyle w:val="Heading1"/>
      </w:pPr>
      <w:r>
        <w:t>Audit details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Scope and objective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Define what is and is not being reviewed.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Buildings / systems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List locations, assets and compliance areas.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Audit lead and participants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Record competence and independence.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Date and reporting period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Sample selected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Explain why the sample is representative.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Previous findings reviewed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Record report and action references.</w:t>
            </w:r>
          </w:p>
        </w:tc>
      </w:tr>
    </w:tbl>
    <w:p>
      <w:pPr>
        <w:pStyle w:val="Heading1"/>
      </w:pPr>
      <w:r>
        <w:t>1. Governance and ownership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Responsibilities and deputies are current, accepted and understood.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Applicable legal, regulatory, insurance and policy requirements are identified.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The compliance register covers all relevant buildings, systems and specialist equipment.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Management receives exception-based assurance and challenges unsupported green status.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Changes to buildings, use, legislation and personnel trigger review.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2. Planning and delivery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Inspection, test, maintenance and review frequencies are defined and scheduled.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Overdue or missed activity is visible, risk assessed and escalated.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Contractors and internal staff are competent for the tasks sampled.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Access failures, cancellations and incomplete visits are controlled and rearranged.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Defects and recommendations are triaged and linked to owned actions.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3. Evidence sampling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Certificates and reports exist for the sampled requirement and period.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Evidence identifies the correct asset, location, date, result and competent person.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Failures, limitations and observations have not been lost during data entry.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Superseded documents are controlled and current evidence can be retrieved promptly.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Closed actions have objective completion and verification evidence.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4. Physical site review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Sampled assets and locations match the register and drawings.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Labels, notices, access routes and safety controls are present and legible.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Obvious defects, changes of use or unauthorised alterations are captured.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Plant rooms, risers, workshops and specialist spaces are appropriately controlled.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Staff can explain local checks, fault reporting and emergency escalation.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Findings and conclusion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600"/>
        <w:gridCol w:w="7144"/>
      </w:tblGrid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Good practice identified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Non-conformities / breaches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Reference each finding and evidence.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Observations / improvement opportunities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Immediate controls required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Actions raised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Enter references from the action tracker.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Overall assurance opinion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Effective / Partially effective / Ineffective / Unable to assure.</w:t>
            </w:r>
          </w:p>
        </w:tc>
      </w:tr>
      <w:tr>
        <w:tc>
          <w:tcPr>
            <w:tcW w:type="dxa" w:w="2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Follow-up date and owner</w:t>
            </w:r>
          </w:p>
        </w:tc>
        <w:tc>
          <w:tcPr>
            <w:tcW w:type="dxa" w:w="71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THE ACCIDENTAL COMPLIANCE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