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Contractor Competence and Appointment Checklist</w:t>
      </w:r>
    </w:p>
    <w:p>
      <w:pPr>
        <w:spacing w:after="200"/>
      </w:pPr>
      <w:r>
        <w:rPr>
          <w:i/>
          <w:color w:val="666666"/>
          <w:sz w:val="21"/>
        </w:rPr>
        <w:t>Companion working resource for The Accidental Compliance Manager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600"/>
        <w:gridCol w:w="3272"/>
        <w:gridCol w:w="1600"/>
        <w:gridCol w:w="3272"/>
      </w:tblGrid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Project / organisation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Prepared by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/>
          </w:p>
        </w:tc>
      </w:tr>
      <w:tr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Version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1.0</w:t>
            </w:r>
          </w:p>
        </w:tc>
        <w:tc>
          <w:tcPr>
            <w:tcW w:type="dxa" w:w="1600"/>
            <w:shd w:fill="D9EA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17365D"/>
              </w:rPr>
              <w:t>Issue date</w:t>
            </w:r>
          </w:p>
        </w:tc>
        <w:tc>
          <w:tcPr>
            <w:tcW w:type="dxa" w:w="3272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8 September 2026</w:t>
            </w:r>
          </w:p>
        </w:tc>
      </w:tr>
    </w:tbl>
    <w:p>
      <w:pPr>
        <w:spacing w:before="160" w:after="160"/>
      </w:pPr>
      <w:r>
        <w:rPr>
          <w:b/>
          <w:color w:val="17365D"/>
        </w:rPr>
        <w:t xml:space="preserve">Purpose: </w:t>
      </w:r>
      <w:r>
        <w:t>A proportionate pre-appointment and mobilisation check for contractors undertaking compliance-related inspection, testing, maintenance or remedial work.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How to use this checklist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Competence is task-, system- and context-specific. Membership, accreditation or a generic training card may support the assessment but should not be treated as proof on its own.</w:t>
            </w:r>
          </w:p>
        </w:tc>
      </w:tr>
    </w:tbl>
    <w:p>
      <w:pPr>
        <w:pStyle w:val="Heading1"/>
      </w:pPr>
      <w:r>
        <w:t>1. Define the appointment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Describe the exact service, assets, buildings and interfaces included.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Identify whether the work is statutory, safety-critical, intrusive, high-risk or business-critical.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Record the required deliverables: certificates, reports, asset data, test results, defects and recommendations.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Identify access, permit, isolation, safeguarding, security and operational constraints.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1.5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who may instruct variations and approve additional cost.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2. Competence and capability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Obtain relevant qualifications, trade registrations, licences and scheme memberships.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Check experience of comparable buildings, systems, equipment and occupied environments.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supervisor and operative competence, including subcontracted work.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Review examples of reports and certificates for clarity, completeness and traceability.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Check resources, response capacity, escalation cover and business continuity.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2.6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Seek references and test material claims where the risk justifies it.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3. Safety, insurance and controls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Review health and safety policy, risk assessments and method statements proportionately.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public liability, employers liability and professional indemnity cover where relevant.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incident, defect, near-miss and urgent-danger reporting arrangements.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Check permit-to-work, isolation, lock-off and reinstatement arrangements.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waste, environmental and hazardous-material controls.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3.6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Record any safeguarding, DBS, security or confidentiality requirements.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>
      <w:pPr>
        <w:pStyle w:val="Heading1"/>
      </w:pPr>
      <w:r>
        <w:t>4. Appointment and mobilisation</w:t>
      </w:r>
    </w:p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20"/>
        <w:gridCol w:w="4050"/>
        <w:gridCol w:w="2300"/>
        <w:gridCol w:w="1350"/>
        <w:gridCol w:w="1424"/>
      </w:tblGrid>
      <w:tr>
        <w:tc>
          <w:tcPr>
            <w:tcW w:type="dxa" w:w="62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Ref</w:t>
            </w:r>
          </w:p>
        </w:tc>
        <w:tc>
          <w:tcPr>
            <w:tcW w:type="dxa" w:w="40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Check / action</w:t>
            </w:r>
          </w:p>
        </w:tc>
        <w:tc>
          <w:tcPr>
            <w:tcW w:type="dxa" w:w="230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Evidence / response</w:t>
            </w:r>
          </w:p>
        </w:tc>
        <w:tc>
          <w:tcPr>
            <w:tcW w:type="dxa" w:w="1350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Owner / date</w:t>
            </w:r>
          </w:p>
        </w:tc>
        <w:tc>
          <w:tcPr>
            <w:tcW w:type="dxa" w:w="1424"/>
            <w:shd w:fill="2E75B6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rPr>
                <w:b/>
                <w:color w:val="FFFFFF"/>
                <w:sz w:val="17"/>
              </w:rPr>
              <w:t>Status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4.1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Issue a clear written scope, price basis, programme, response standards and reporting requirements.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4.2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Record asset lists, frequencies, standards and the boundary between planned and remedial work.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4.3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Agree communication routes, named contacts and out-of-hours escalation.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4.4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Confirm evidence format, naming, storage location and submission deadline.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4.5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Complete site induction and provide current asbestos, fire, access and hazard information.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  <w:tr>
        <w:tc>
          <w:tcPr>
            <w:tcW w:type="dxa" w:w="62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4.6</w:t>
            </w:r>
          </w:p>
        </w:tc>
        <w:tc>
          <w:tcPr>
            <w:tcW w:type="dxa" w:w="40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Record approval, limitations, review date and appointing authority.</w:t>
            </w:r>
          </w:p>
        </w:tc>
        <w:tc>
          <w:tcPr>
            <w:tcW w:type="dxa" w:w="230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350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1424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40"/>
            </w:pPr>
            <w:r>
              <w:rPr>
                <w:sz w:val="17"/>
              </w:rPr>
              <w:t>☐ Open   ☐ Complete   ☐ N/A</w:t>
            </w:r>
          </w:p>
        </w:tc>
      </w:tr>
    </w:tbl>
    <w:p/>
    <w:tbl>
      <w:tblPr>
        <w:tblStyle w:val="TableGrid"/>
        <w:tblW w:type="dxa" w:w="9744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9744"/>
      </w:tblGrid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  <w:shd w:fill="FFF2CC"/>
          </w:tcPr>
          <w:p>
            <w:r>
              <w:rPr>
                <w:b/>
                <w:color w:val="7F6000"/>
              </w:rPr>
              <w:t>Important use note</w:t>
            </w:r>
          </w:p>
        </w:tc>
      </w:tr>
      <w:tr>
        <w:tc>
          <w:tcPr>
            <w:tcW w:type="dxa" w:w="9744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r>
              <w:t>This document is a practical working template, not legal, contractual or technical advice. Adapt it to the project, organisation, executed contract, amendments, applicable law and competent-person advice. Retain supporting evidence and record why any item is marked not applicable.</w:t>
            </w:r>
          </w:p>
        </w:tc>
      </w:tr>
    </w:tbl>
    <w:p>
      <w:pPr>
        <w:jc w:val="center"/>
      </w:pPr>
      <w:r>
        <w:rPr>
          <w:i/>
          <w:color w:val="666666"/>
          <w:sz w:val="16"/>
        </w:rPr>
        <w:t>Ink &amp; Lintel | Version 1.0 | 8 September 2026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80" w:bottom="1020" w:left="1080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ptos" w:hAnsi="Aptos"/>
        <w:color w:val="666666"/>
        <w:sz w:val="16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left"/>
    </w:pPr>
    <w:r>
      <w:rPr>
        <w:b/>
        <w:color w:val="666666"/>
        <w:sz w:val="16"/>
      </w:rPr>
      <w:t>INK &amp; LINTEL  |  THE ACCIDENTAL COMPLIANCE MANAGER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6" w:lineRule="auto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E75B6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75B6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