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rPr>
          <w:rFonts w:ascii="Arial" w:hAnsi="Arial"/>
          <w:b/>
          <w:i w:val="0"/>
          <w:color w:val="1F4E5F"/>
          <w:sz w:val="44"/>
        </w:rPr>
        <w:t>Project Contacts and Responsibilities Schedule</w:t>
      </w:r>
    </w:p>
    <w:p>
      <w:pPr>
        <w:spacing w:after="180"/>
      </w:pPr>
      <w:r>
        <w:rPr>
          <w:rFonts w:ascii="Arial" w:hAnsi="Arial"/>
          <w:b/>
          <w:i w:val="0"/>
          <w:color w:val="D89B2B"/>
          <w:sz w:val="19"/>
        </w:rPr>
        <w:t>CPCP-05  |  Appointments, communication routes and delegated authority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29"/>
        <w:gridCol w:w="4729"/>
      </w:tblGrid>
      <w:tr>
        <w:tc>
          <w:tcPr>
            <w:tcW w:type="dxa" w:w="4592"/>
            <w:vAlign w:val="center"/>
            <w:shd w:fill="EEF5F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</w:r>
            <w:r>
              <w:rPr>
                <w:rFonts w:ascii="Arial" w:hAnsi="Arial"/>
                <w:b/>
                <w:i w:val="0"/>
                <w:color w:val="1F4E5F"/>
                <w:sz w:val="17"/>
              </w:rPr>
              <w:t xml:space="preserve">Project: </w:t>
            </w:r>
            <w:r>
              <w:rPr>
                <w:rFonts w:ascii="Arial" w:hAnsi="Arial"/>
                <w:b w:val="0"/>
                <w:i w:val="0"/>
                <w:color w:val="222222"/>
                <w:sz w:val="17"/>
              </w:rPr>
              <w:t>________________________________</w:t>
            </w:r>
          </w:p>
        </w:tc>
        <w:tc>
          <w:tcPr>
            <w:tcW w:type="dxa" w:w="4592"/>
            <w:vAlign w:val="center"/>
            <w:shd w:fill="EEF5F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</w:r>
            <w:r>
              <w:rPr>
                <w:rFonts w:ascii="Arial" w:hAnsi="Arial"/>
                <w:b/>
                <w:i w:val="0"/>
                <w:color w:val="1F4E5F"/>
                <w:sz w:val="17"/>
              </w:rPr>
              <w:t xml:space="preserve">Client organisation: </w:t>
            </w:r>
            <w:r>
              <w:rPr>
                <w:rFonts w:ascii="Arial" w:hAnsi="Arial"/>
                <w:b w:val="0"/>
                <w:i w:val="0"/>
                <w:color w:val="222222"/>
                <w:sz w:val="17"/>
              </w:rPr>
              <w:t>________________________________</w:t>
            </w:r>
          </w:p>
        </w:tc>
      </w:tr>
      <w:tr>
        <w:tc>
          <w:tcPr>
            <w:tcW w:type="dxa" w:w="4592"/>
            <w:vAlign w:val="center"/>
            <w:shd w:fill="EEF5F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</w:r>
            <w:r>
              <w:rPr>
                <w:rFonts w:ascii="Arial" w:hAnsi="Arial"/>
                <w:b/>
                <w:i w:val="0"/>
                <w:color w:val="1F4E5F"/>
                <w:sz w:val="17"/>
              </w:rPr>
              <w:t xml:space="preserve">Project reference: </w:t>
            </w:r>
            <w:r>
              <w:rPr>
                <w:rFonts w:ascii="Arial" w:hAnsi="Arial"/>
                <w:b w:val="0"/>
                <w:i w:val="0"/>
                <w:color w:val="222222"/>
                <w:sz w:val="17"/>
              </w:rPr>
              <w:t>________________________________</w:t>
            </w:r>
          </w:p>
        </w:tc>
        <w:tc>
          <w:tcPr>
            <w:tcW w:type="dxa" w:w="4592"/>
            <w:vAlign w:val="center"/>
            <w:shd w:fill="EEF5F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</w:r>
            <w:r>
              <w:rPr>
                <w:rFonts w:ascii="Arial" w:hAnsi="Arial"/>
                <w:b/>
                <w:i w:val="0"/>
                <w:color w:val="1F4E5F"/>
                <w:sz w:val="17"/>
              </w:rPr>
              <w:t xml:space="preserve">Prepared by: </w:t>
            </w:r>
            <w:r>
              <w:rPr>
                <w:rFonts w:ascii="Arial" w:hAnsi="Arial"/>
                <w:b w:val="0"/>
                <w:i w:val="0"/>
                <w:color w:val="222222"/>
                <w:sz w:val="17"/>
              </w:rPr>
              <w:t>________________________________</w:t>
            </w:r>
          </w:p>
        </w:tc>
      </w:tr>
      <w:tr>
        <w:tc>
          <w:tcPr>
            <w:tcW w:type="dxa" w:w="4592"/>
            <w:vAlign w:val="center"/>
            <w:shd w:fill="EEF5F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</w:r>
            <w:r>
              <w:rPr>
                <w:rFonts w:ascii="Arial" w:hAnsi="Arial"/>
                <w:b/>
                <w:i w:val="0"/>
                <w:color w:val="1F4E5F"/>
                <w:sz w:val="17"/>
              </w:rPr>
              <w:t xml:space="preserve">Date: </w:t>
            </w:r>
            <w:r>
              <w:rPr>
                <w:rFonts w:ascii="Arial" w:hAnsi="Arial"/>
                <w:b w:val="0"/>
                <w:i w:val="0"/>
                <w:color w:val="222222"/>
                <w:sz w:val="17"/>
              </w:rPr>
              <w:t>________________________________</w:t>
            </w:r>
          </w:p>
        </w:tc>
        <w:tc>
          <w:tcPr>
            <w:tcW w:type="dxa" w:w="4592"/>
            <w:vAlign w:val="center"/>
            <w:shd w:fill="EEF5F6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</w:r>
            <w:r>
              <w:rPr>
                <w:rFonts w:ascii="Arial" w:hAnsi="Arial"/>
                <w:b/>
                <w:i w:val="0"/>
                <w:color w:val="1F4E5F"/>
                <w:sz w:val="17"/>
              </w:rPr>
              <w:t xml:space="preserve">Revision: </w:t>
            </w:r>
            <w:r>
              <w:rPr>
                <w:rFonts w:ascii="Arial" w:hAnsi="Arial"/>
                <w:b w:val="0"/>
                <w:i w:val="0"/>
                <w:color w:val="222222"/>
                <w:sz w:val="17"/>
              </w:rPr>
              <w:t>P01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458"/>
      </w:tblGrid>
      <w:tr>
        <w:trPr>
          <w:cantSplit/>
        </w:trPr>
        <w:tc>
          <w:tcPr>
            <w:tcW w:type="dxa" w:w="9458"/>
            <w:shd w:fill="EEF5F6"/>
            <w:tcBorders>
              <w:top w:val="single" w:sz="4" w:color="EEF5F6"/>
              <w:left w:val="single" w:sz="16" w:color="5F8F9D"/>
              <w:bottom w:val="single" w:sz="4" w:color="EEF5F6"/>
              <w:right w:val="single" w:sz="4" w:color="EEF5F6"/>
            </w:tcBorders>
            <w:tcMar>
              <w:top w:w="100" w:type="dxa"/>
              <w:start w:w="130" w:type="dxa"/>
              <w:bottom w:w="100" w:type="dxa"/>
              <w:end w:w="120" w:type="dxa"/>
            </w:tcMar>
          </w:tcPr>
          <w:p>
            <w:pPr>
              <w:spacing w:after="40"/>
            </w:pPr>
            <w:r/>
            <w:r>
              <w:rPr>
                <w:rFonts w:ascii="Arial" w:hAnsi="Arial"/>
                <w:b/>
                <w:i w:val="0"/>
                <w:color w:val="1F4E5F"/>
                <w:sz w:val="19"/>
              </w:rPr>
              <w:t>How to use this schedule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>Complete this at project mobilisation and reissue it whenever an appointment, named contact or delegated authority changes. A contact list does not by itself appoint a CDM dutyholder or change contractual responsibility; appointments and authority must be confirmed in the relevant written documents.</w:t>
            </w:r>
          </w:p>
        </w:tc>
      </w:tr>
    </w:tbl>
    <w:p>
      <w:pPr>
        <w:pStyle w:val="Heading1"/>
      </w:pPr>
      <w:r>
        <w:t>1. Client governance and key contacts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351"/>
        <w:gridCol w:w="1351"/>
        <w:gridCol w:w="1351"/>
        <w:gridCol w:w="1351"/>
        <w:gridCol w:w="1351"/>
        <w:gridCol w:w="1351"/>
        <w:gridCol w:w="1351"/>
      </w:tblGrid>
      <w:tr>
        <w:trPr>
          <w:tblHeader w:val="true"/>
        </w:trPr>
        <w:tc>
          <w:tcPr>
            <w:tcW w:type="dxa" w:w="2211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Role</w:t>
            </w:r>
          </w:p>
        </w:tc>
        <w:tc>
          <w:tcPr>
            <w:tcW w:type="dxa" w:w="1757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Organisation</w:t>
            </w:r>
          </w:p>
        </w:tc>
        <w:tc>
          <w:tcPr>
            <w:tcW w:type="dxa" w:w="1531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Named contact</w:t>
            </w:r>
          </w:p>
        </w:tc>
        <w:tc>
          <w:tcPr>
            <w:tcW w:type="dxa" w:w="181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Email</w:t>
            </w:r>
          </w:p>
        </w:tc>
        <w:tc>
          <w:tcPr>
            <w:tcW w:type="dxa" w:w="130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Telephone</w:t>
            </w:r>
          </w:p>
        </w:tc>
        <w:tc>
          <w:tcPr>
            <w:tcW w:type="dxa" w:w="1757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Appointment / authority ref</w:t>
            </w:r>
          </w:p>
        </w:tc>
        <w:tc>
          <w:tcPr>
            <w:tcW w:type="dxa" w:w="113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Deputy</w:t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Project sponsor / senior responsible owner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Client project lead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Client finance contact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Client operational / end-user lead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Client health and safety contact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Client estates / facilities contact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Contract administrator / employer's agent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Cost consultant / quantity surveyor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Lead designer / architect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Principal designer (CDM)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Principal contractor (CDM)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Building services designer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Structural / civil engineer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Planning / heritage adviser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Building Control body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  <w:tr>
        <w:tc>
          <w:tcPr>
            <w:tcW w:type="dxa" w:w="221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Other specialist</w:t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531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81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30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757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  <w:tc>
          <w:tcPr>
            <w:tcW w:type="dxa" w:w="1134"/>
            <w:vAlign w:val="center"/>
            <w:tcMar>
              <w:top w:w="85" w:type="dxa"/>
              <w:start w:w="90" w:type="dxa"/>
              <w:bottom w:w="8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</w:r>
          </w:p>
        </w:tc>
      </w:tr>
    </w:tbl>
    <w:p>
      <w:pPr>
        <w:pStyle w:val="Heading1"/>
      </w:pPr>
      <w:r>
        <w:t>2. Plain-English responsibility summary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153"/>
        <w:gridCol w:w="3153"/>
        <w:gridCol w:w="3153"/>
      </w:tblGrid>
      <w:tr>
        <w:trPr>
          <w:tblHeader w:val="true"/>
        </w:trPr>
        <w:tc>
          <w:tcPr>
            <w:tcW w:type="dxa" w:w="198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Role</w:t>
            </w:r>
          </w:p>
        </w:tc>
        <w:tc>
          <w:tcPr>
            <w:tcW w:type="dxa" w:w="4706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Typical contribution</w:t>
            </w:r>
          </w:p>
        </w:tc>
        <w:tc>
          <w:tcPr>
            <w:tcW w:type="dxa" w:w="3061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Confirm project-specific limits / exclusions</w:t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Client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Sets the brief, budget, time and governance arrangements; appoints competent organisations; provides relevant information; ensures suitable project management arrangements; and retains client decisions.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Principal designer (CDM)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Plans, manages, monitors and coordinates health and safety during the pre-construction phase; helps assemble PCI; coordinates designers and supports preparation of the health and safety file.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Principal contractor (CDM)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Plans, manages, monitors and coordinates the construction phase; prepares and maintains the construction phase plan; manages cooperation, site security, welfare and site arrangements.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Lead designer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Coordinates the design service described in the appointment. This title is not automatically the same as principal designer under CDM or principal designer under building regulations.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Contract administrator / employer's agent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Administers the building contract within the authority given. The exact powers depend on the chosen contract and appointment.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Cost consultant / quantity surveyor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Advises on cost planning, valuation and change, but does not normally authorise client expenditure unless expressly delegated.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Contractor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Carries out and manages construction work under its control, coordinates with others and provides required information, records and workmanship.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/>
                <w:i w:val="0"/>
                <w:color w:val="1F4E5F"/>
                <w:sz w:val="16"/>
              </w:rPr>
              <w:t>Client project lead</w:t>
            </w:r>
          </w:p>
        </w:tc>
        <w:tc>
          <w:tcPr>
            <w:tcW w:type="dxa" w:w="4706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Coordinates the client's decisions, information and stakeholders. This role does not remove statutory or contractual duties from others.</w:t>
            </w:r>
          </w:p>
        </w:tc>
        <w:tc>
          <w:tcPr>
            <w:tcW w:type="dxa" w:w="306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</w:tbl>
    <w:p>
      <w:pPr>
        <w:pStyle w:val="Heading1"/>
      </w:pPr>
      <w:r>
        <w:t>3. Responsibility and consultation matrix</w:t>
      </w:r>
    </w:p>
    <w:p>
      <w:r>
        <w:rPr>
          <w:rFonts w:ascii="Arial" w:hAnsi="Arial"/>
          <w:b w:val="0"/>
          <w:i w:val="0"/>
          <w:color w:val="222222"/>
          <w:sz w:val="18"/>
        </w:rPr>
        <w:t>Use R = responsible for doing the work; A = accountable for the decision; C = consulted before action; I = informed. Use one A wherever practical.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>
        <w:trPr>
          <w:tblHeader w:val="true"/>
        </w:trPr>
        <w:tc>
          <w:tcPr>
            <w:tcW w:type="dxa" w:w="3515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Activity</w:t>
            </w:r>
          </w:p>
        </w:tc>
        <w:tc>
          <w:tcPr>
            <w:tcW w:type="dxa" w:w="96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Client sponsor</w:t>
            </w:r>
          </w:p>
        </w:tc>
        <w:tc>
          <w:tcPr>
            <w:tcW w:type="dxa" w:w="96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Client lead</w:t>
            </w:r>
          </w:p>
        </w:tc>
        <w:tc>
          <w:tcPr>
            <w:tcW w:type="dxa" w:w="96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CA / EA</w:t>
            </w:r>
          </w:p>
        </w:tc>
        <w:tc>
          <w:tcPr>
            <w:tcW w:type="dxa" w:w="850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PD</w:t>
            </w:r>
          </w:p>
        </w:tc>
        <w:tc>
          <w:tcPr>
            <w:tcW w:type="dxa" w:w="850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PC</w:t>
            </w:r>
          </w:p>
        </w:tc>
        <w:tc>
          <w:tcPr>
            <w:tcW w:type="dxa" w:w="96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Designer</w:t>
            </w:r>
          </w:p>
        </w:tc>
        <w:tc>
          <w:tcPr>
            <w:tcW w:type="dxa" w:w="79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5"/>
              </w:rPr>
              <w:t>QS</w:t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Approve client brief and project outcomes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Approve project budget and use of contingency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Confirm procurement and contract strategy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Make statutory dutyholder appointments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Compile and issue pre-construction information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Coordinate design and design-risk information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Approve tender / contractor appointment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Confirm construction phase plan before start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Issue contractual instructions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Approve changes and additional expenditure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Assess payment applications / valuations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Approve time extensions or programme changes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Approve samples, finishes and substitutions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Manage site safety and welfare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Coordinate stakeholder and occupant communications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Confirm practical completion readiness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Receive and approve handover information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515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Manage defects and final close-out</w:t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85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96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79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</w:tbl>
    <w:p>
      <w:pPr>
        <w:pStyle w:val="Heading1"/>
      </w:pPr>
      <w:r>
        <w:t>4. Delegated authority and approvals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892"/>
        <w:gridCol w:w="1892"/>
        <w:gridCol w:w="1892"/>
        <w:gridCol w:w="1892"/>
        <w:gridCol w:w="1892"/>
      </w:tblGrid>
      <w:tr>
        <w:trPr>
          <w:tblHeader w:val="true"/>
        </w:trPr>
        <w:tc>
          <w:tcPr>
            <w:tcW w:type="dxa" w:w="3231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Decision / action</w:t>
            </w:r>
          </w:p>
        </w:tc>
        <w:tc>
          <w:tcPr>
            <w:tcW w:type="dxa" w:w="198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Named authorised person</w:t>
            </w:r>
          </w:p>
        </w:tc>
        <w:tc>
          <w:tcPr>
            <w:tcW w:type="dxa" w:w="215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Limit / conditions</w:t>
            </w:r>
          </w:p>
        </w:tc>
        <w:tc>
          <w:tcPr>
            <w:tcW w:type="dxa" w:w="1417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Deputy</w:t>
            </w:r>
          </w:p>
        </w:tc>
        <w:tc>
          <w:tcPr>
            <w:tcW w:type="dxa" w:w="2098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Evidence / document</w:t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Issue instructions under the building contract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change for pricing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change up to delegated limit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use of client contingency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payment recommendation / certificate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design for tender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design for construction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substitutions or alternative materials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Approve extensions of time / loss and expense assessment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3231"/>
            <w:vAlign w:val="center"/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Confirm practical completion / handover</w:t>
            </w:r>
          </w:p>
        </w:tc>
        <w:tc>
          <w:tcPr>
            <w:tcW w:type="dxa" w:w="198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154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2098"/>
            <w:vAlign w:val="center"/>
            <w:tcMar>
              <w:top w:w="95" w:type="dxa"/>
              <w:start w:w="90" w:type="dxa"/>
              <w:bottom w:w="95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</w:tbl>
    <w:p>
      <w:pPr>
        <w:pStyle w:val="Heading1"/>
      </w:pPr>
      <w:r>
        <w:t>5. Communication and escalation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892"/>
        <w:gridCol w:w="1892"/>
        <w:gridCol w:w="1892"/>
        <w:gridCol w:w="1892"/>
        <w:gridCol w:w="1892"/>
      </w:tblGrid>
      <w:tr>
        <w:trPr>
          <w:tblHeader w:val="true"/>
        </w:trPr>
        <w:tc>
          <w:tcPr>
            <w:tcW w:type="dxa" w:w="2891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Communication type</w:t>
            </w:r>
          </w:p>
        </w:tc>
        <w:tc>
          <w:tcPr>
            <w:tcW w:type="dxa" w:w="2268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Primary route</w:t>
            </w:r>
          </w:p>
        </w:tc>
        <w:tc>
          <w:tcPr>
            <w:tcW w:type="dxa" w:w="1417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Response target</w:t>
            </w:r>
          </w:p>
        </w:tc>
        <w:tc>
          <w:tcPr>
            <w:tcW w:type="dxa" w:w="1871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Escalate to</w:t>
            </w:r>
          </w:p>
        </w:tc>
        <w:tc>
          <w:tcPr>
            <w:tcW w:type="dxa" w:w="1984"/>
            <w:vAlign w:val="center"/>
            <w:shd w:fill="1F4E5F"/>
          </w:tcPr>
          <w:p>
            <w:pPr>
              <w:spacing w:after="0" w:before="0" w:line="240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6"/>
              </w:rPr>
              <w:t>Record location</w:t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Routine project communication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Requests for information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Contractual instructions and notices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Change / variation requests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Health and safety concern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Incident or emergency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Out-of-hours access / alarm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Complaint from neighbour or occupant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  <w:tr>
        <w:tc>
          <w:tcPr>
            <w:tcW w:type="dxa" w:w="289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Dispute or unresolved commercial issue</w:t>
            </w:r>
          </w:p>
        </w:tc>
        <w:tc>
          <w:tcPr>
            <w:tcW w:type="dxa" w:w="2268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417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871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  <w:tc>
          <w:tcPr>
            <w:tcW w:type="dxa" w:w="1984"/>
            <w:vAlign w:val="center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after="0" w:before="0" w:line="240" w:lineRule="auto"/>
              <w:jc w:val="left"/>
            </w:pPr>
            <w:r/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Reference basis and limitations</w:t>
      </w:r>
    </w:p>
    <w:p>
      <w:r>
        <w:rPr>
          <w:rFonts w:ascii="Arial" w:hAnsi="Arial"/>
          <w:b w:val="0"/>
          <w:i w:val="0"/>
          <w:color w:val="222222"/>
          <w:sz w:val="18"/>
        </w:rPr>
        <w:t>These templates are practical client-side controls. They are not a substitute for the building contract, professional appointments, statutory documents, legal advice or the duties of designers, contractors and CDM dutyholders.</w:t>
      </w:r>
    </w:p>
    <w:p>
      <w:pPr>
        <w:spacing w:after="80"/>
      </w:pPr>
      <w:r>
        <w:rPr>
          <w:rFonts w:ascii="Arial" w:hAnsi="Arial"/>
          <w:b/>
          <w:i w:val="0"/>
          <w:color w:val="1F4E5F"/>
          <w:sz w:val="18"/>
        </w:rPr>
        <w:t>HSE, Managing health and safety in construction (L153)</w:t>
      </w:r>
    </w:p>
    <w:p>
      <w:pPr>
        <w:spacing w:after="100"/>
        <w:ind w:left="283"/>
      </w:pPr>
      <w:r>
        <w:rPr>
          <w:rFonts w:ascii="Arial" w:hAnsi="Arial"/>
          <w:b w:val="0"/>
          <w:i w:val="0"/>
          <w:color w:val="666666"/>
          <w:sz w:val="16"/>
        </w:rPr>
        <w:t>https://www.hse.gov.uk/pubns/priced/l153.pdf</w:t>
      </w:r>
    </w:p>
    <w:p>
      <w:pPr>
        <w:spacing w:after="80"/>
      </w:pPr>
      <w:r>
        <w:rPr>
          <w:rFonts w:ascii="Arial" w:hAnsi="Arial"/>
          <w:b/>
          <w:i w:val="0"/>
          <w:color w:val="1F4E5F"/>
          <w:sz w:val="18"/>
        </w:rPr>
        <w:t>HSE, Commercial clients: roles and responsibilities</w:t>
      </w:r>
    </w:p>
    <w:p>
      <w:pPr>
        <w:spacing w:after="100"/>
        <w:ind w:left="283"/>
      </w:pPr>
      <w:r>
        <w:rPr>
          <w:rFonts w:ascii="Arial" w:hAnsi="Arial"/>
          <w:b w:val="0"/>
          <w:i w:val="0"/>
          <w:color w:val="666666"/>
          <w:sz w:val="16"/>
        </w:rPr>
        <w:t>https://www.hse.gov.uk/construction/cdm/2015/commercial-clients.htm</w:t>
      </w:r>
    </w:p>
    <w:p>
      <w:pPr>
        <w:spacing w:after="80"/>
      </w:pPr>
      <w:r>
        <w:rPr>
          <w:rFonts w:ascii="Arial" w:hAnsi="Arial"/>
          <w:b/>
          <w:i w:val="0"/>
          <w:color w:val="1F4E5F"/>
          <w:sz w:val="18"/>
        </w:rPr>
        <w:t>HSE, Construction Phase Plan (CIS80)</w:t>
      </w:r>
    </w:p>
    <w:p>
      <w:pPr>
        <w:spacing w:after="100"/>
        <w:ind w:left="283"/>
      </w:pPr>
      <w:r>
        <w:rPr>
          <w:rFonts w:ascii="Arial" w:hAnsi="Arial"/>
          <w:b w:val="0"/>
          <w:i w:val="0"/>
          <w:color w:val="666666"/>
          <w:sz w:val="16"/>
        </w:rPr>
        <w:t>https://www.hse.gov.uk/pubns/cis80.pdf</w:t>
      </w:r>
    </w:p>
    <w:p>
      <w:pPr>
        <w:spacing w:after="80"/>
      </w:pPr>
      <w:r>
        <w:rPr>
          <w:rFonts w:ascii="Arial" w:hAnsi="Arial"/>
          <w:b/>
          <w:i w:val="0"/>
          <w:color w:val="1F4E5F"/>
          <w:sz w:val="18"/>
        </w:rPr>
        <w:t>Cabinet Office, The Construction Playbook</w:t>
      </w:r>
    </w:p>
    <w:p>
      <w:pPr>
        <w:spacing w:after="100"/>
        <w:ind w:left="283"/>
      </w:pPr>
      <w:r>
        <w:rPr>
          <w:rFonts w:ascii="Arial" w:hAnsi="Arial"/>
          <w:b w:val="0"/>
          <w:i w:val="0"/>
          <w:color w:val="666666"/>
          <w:sz w:val="16"/>
        </w:rPr>
        <w:t>https://www.gov.uk/government/publications/the-construction-playbook</w:t>
      </w:r>
    </w:p>
    <w:p>
      <w:pPr>
        <w:spacing w:after="80"/>
      </w:pPr>
      <w:r>
        <w:rPr>
          <w:rFonts w:ascii="Arial" w:hAnsi="Arial"/>
          <w:b/>
          <w:i w:val="0"/>
          <w:color w:val="1F4E5F"/>
          <w:sz w:val="18"/>
        </w:rPr>
        <w:t>Infrastructure and Projects Authority, Project Routemap: Risk Management</w:t>
      </w:r>
    </w:p>
    <w:p>
      <w:pPr>
        <w:spacing w:after="100"/>
        <w:ind w:left="283"/>
      </w:pPr>
      <w:r>
        <w:rPr>
          <w:rFonts w:ascii="Arial" w:hAnsi="Arial"/>
          <w:b w:val="0"/>
          <w:i w:val="0"/>
          <w:color w:val="666666"/>
          <w:sz w:val="16"/>
        </w:rPr>
        <w:t>https://assets.publishing.service.gov.uk/media/62972049e90e070395bb3ded/Risk_Management_-_FINAL.pdf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458"/>
      </w:tblGrid>
      <w:tr>
        <w:trPr>
          <w:cantSplit/>
        </w:trPr>
        <w:tc>
          <w:tcPr>
            <w:tcW w:type="dxa" w:w="9458"/>
            <w:shd w:fill="EEF5F6"/>
            <w:tcBorders>
              <w:top w:val="single" w:sz="4" w:color="EEF5F6"/>
              <w:left w:val="single" w:sz="16" w:color="5F8F9D"/>
              <w:bottom w:val="single" w:sz="4" w:color="EEF5F6"/>
              <w:right w:val="single" w:sz="4" w:color="EEF5F6"/>
            </w:tcBorders>
            <w:tcMar>
              <w:top w:w="100" w:type="dxa"/>
              <w:start w:w="130" w:type="dxa"/>
              <w:bottom w:w="100" w:type="dxa"/>
              <w:end w:w="120" w:type="dxa"/>
            </w:tcMar>
          </w:tcPr>
          <w:p>
            <w:pPr>
              <w:spacing w:after="40"/>
            </w:pPr>
            <w:r/>
            <w:r>
              <w:rPr>
                <w:rFonts w:ascii="Arial" w:hAnsi="Arial"/>
                <w:b/>
                <w:i w:val="0"/>
                <w:color w:val="1F4E5F"/>
                <w:sz w:val="19"/>
              </w:rPr>
              <w:t>Review before use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>Confirm the applicable procurement route, form of contract, payment timetable, delegated authority levels, statutory duties and project-specific risks. Remove prompts that are not relevant and add project-specific controls.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181" w:right="1224" w:bottom="1123" w:left="1224" w:header="403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3010"/>
      <w:gridCol w:w="3010"/>
      <w:gridCol w:w="3010"/>
    </w:tblGrid>
    <w:tr>
      <w:tc>
        <w:tcPr>
          <w:tcW w:type="dxa" w:w="3010"/>
          <w:vAlign w:val="center"/>
        </w:tcPr>
        <w:p>
          <w:pPr>
            <w:spacing w:after="0" w:before="0" w:line="240" w:lineRule="auto"/>
            <w:jc w:val="left"/>
          </w:pPr>
          <w:r/>
          <w:r>
            <w:rPr>
              <w:rFonts w:ascii="Arial" w:hAnsi="Arial"/>
              <w:b w:val="0"/>
              <w:i w:val="0"/>
              <w:color w:val="666666"/>
              <w:sz w:val="16"/>
            </w:rPr>
            <w:t>CPCP-05</w:t>
          </w:r>
        </w:p>
      </w:tc>
      <w:tc>
        <w:tcPr>
          <w:tcW w:type="dxa" w:w="3010"/>
          <w:vAlign w:val="center"/>
        </w:tcPr>
        <w:p>
          <w:pPr>
            <w:spacing w:after="0" w:before="0" w:line="240" w:lineRule="auto"/>
            <w:jc w:val="center"/>
          </w:pPr>
          <w:r/>
          <w:r>
            <w:rPr>
              <w:rFonts w:ascii="Arial" w:hAnsi="Arial"/>
              <w:b w:val="0"/>
              <w:i w:val="0"/>
              <w:color w:val="666666"/>
              <w:sz w:val="16"/>
            </w:rPr>
            <w:t>Template - adapt to the project and contract</w:t>
          </w:r>
        </w:p>
      </w:tc>
      <w:tc>
        <w:tcPr>
          <w:tcW w:type="dxa" w:w="3010"/>
          <w:vAlign w:val="center"/>
        </w:tcPr>
        <w:p>
          <w:pPr>
            <w:spacing w:after="0" w:before="0" w:line="240" w:lineRule="auto"/>
            <w:jc w:val="right"/>
          </w:pPr>
          <w:r>
            <w:rPr>
              <w:rFonts w:ascii="Arial" w:hAnsi="Arial"/>
              <w:color w:val="666666"/>
              <w:sz w:val="16"/>
            </w:rPr>
            <w:t xml:space="preserve">Page </w:t>
          </w:r>
          <w:r>
            <w:rPr>
              <w:rFonts w:ascii="Arial" w:hAnsi="Arial"/>
              <w:color w:val="666666"/>
              <w:sz w:val="16"/>
            </w:rPr>
            <w:fldChar w:fldCharType="begin"/>
            <w:instrText xml:space="preserve"> PAGE </w:instrText>
            <w:fldChar w:fldCharType="separate"/>
            <w:t>1</w: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40"/>
      <w:jc w:val="left"/>
    </w:pPr>
    <w:r/>
    <w:r>
      <w:rPr>
        <w:rFonts w:ascii="Arial" w:hAnsi="Arial"/>
        <w:b/>
        <w:i w:val="0"/>
        <w:color w:val="1F4E5F"/>
        <w:sz w:val="18"/>
      </w:rPr>
      <w:t>Ink &amp; Lintel</w:t>
    </w:r>
    <w:r>
      <w:rPr>
        <w:rFonts w:ascii="Arial" w:hAnsi="Arial"/>
        <w:b w:val="0"/>
        <w:i w:val="0"/>
        <w:color w:val="666666"/>
        <w:sz w:val="17"/>
      </w:rPr>
      <w:t xml:space="preserve">  |  Client Project Control Pack</w:t>
    </w:r>
  </w:p>
  <w:p>
    <w:pPr>
      <w:spacing w:after="0"/>
      <w:pBdr>
        <w:bottom w:val="single" w:sz="8" w:space="1" w:color="5F8F9D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1F4E5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5F8F9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F4E5F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1F4E5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