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40"/>
      </w:pPr>
      <w:r>
        <w:rPr>
          <w:rFonts w:ascii="Arial" w:hAnsi="Arial"/>
          <w:b/>
          <w:i w:val="0"/>
          <w:color w:val="1F4E5F"/>
          <w:sz w:val="44"/>
        </w:rPr>
        <w:t>Pre-start Meeting Agenda and Minutes</w:t>
      </w:r>
    </w:p>
    <w:p>
      <w:pPr>
        <w:spacing w:after="180"/>
      </w:pPr>
      <w:r>
        <w:rPr>
          <w:rFonts w:ascii="Arial" w:hAnsi="Arial"/>
          <w:b/>
          <w:i w:val="0"/>
          <w:color w:val="D89B2B"/>
          <w:sz w:val="19"/>
        </w:rPr>
        <w:t>CPCP-02  |  Agenda, readiness review, decisions and actions</w:t>
      </w:r>
    </w:p>
    <w:tbl>
      <w:tblPr>
        <w:tblStyle w:val="TableGrid"/>
        <w:tblW w:type="auto" w:w="0"/>
        <w:jc w:val="center"/>
        <w:tblLayout w:type="fixed"/>
        <w:tblLook w:firstColumn="1" w:firstRow="1" w:lastColumn="0" w:lastRow="0" w:noHBand="0" w:noVBand="1" w:val="04A0"/>
      </w:tblPr>
      <w:tblGrid>
        <w:gridCol w:w="4729"/>
        <w:gridCol w:w="4729"/>
      </w:tblGrid>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Project: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Client organisation: </w:t>
            </w:r>
            <w:r>
              <w:rPr>
                <w:rFonts w:ascii="Arial" w:hAnsi="Arial"/>
                <w:b w:val="0"/>
                <w:i w:val="0"/>
                <w:color w:val="222222"/>
                <w:sz w:val="17"/>
              </w:rPr>
              <w:t>________________________________</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Project reference: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Prepared by: </w:t>
            </w:r>
            <w:r>
              <w:rPr>
                <w:rFonts w:ascii="Arial" w:hAnsi="Arial"/>
                <w:b w:val="0"/>
                <w:i w:val="0"/>
                <w:color w:val="222222"/>
                <w:sz w:val="17"/>
              </w:rPr>
              <w:t>________________________________</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Date: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Revision: </w:t>
            </w:r>
            <w:r>
              <w:rPr>
                <w:rFonts w:ascii="Arial" w:hAnsi="Arial"/>
                <w:b w:val="0"/>
                <w:i w:val="0"/>
                <w:color w:val="222222"/>
                <w:sz w:val="17"/>
              </w:rPr>
              <w:t>P01</w:t>
            </w:r>
          </w:p>
        </w:tc>
      </w:tr>
      <w:tr>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Meeting date/time: </w:t>
            </w:r>
            <w:r>
              <w:rPr>
                <w:rFonts w:ascii="Arial" w:hAnsi="Arial"/>
                <w:b w:val="0"/>
                <w:i w:val="0"/>
                <w:color w:val="222222"/>
                <w:sz w:val="17"/>
              </w:rPr>
              <w:t>________________________________</w:t>
            </w:r>
          </w:p>
        </w:tc>
        <w:tc>
          <w:tcPr>
            <w:tcW w:type="dxa" w:w="4592"/>
            <w:vAlign w:val="center"/>
            <w:shd w:fill="EEF5F6"/>
            <w:tcMar>
              <w:top w:w="80" w:type="dxa"/>
              <w:start w:w="90" w:type="dxa"/>
              <w:bottom w:w="80" w:type="dxa"/>
              <w:end w:w="90" w:type="dxa"/>
            </w:tcMar>
          </w:tcPr>
          <w:p>
            <w:pPr>
              <w:spacing w:after="0" w:before="0" w:line="240" w:lineRule="auto"/>
              <w:jc w:val="left"/>
            </w:pPr>
            <w:r/>
            <w:r>
              <w:rPr>
                <w:rFonts w:ascii="Arial" w:hAnsi="Arial"/>
                <w:b w:val="0"/>
                <w:i w:val="0"/>
                <w:color w:val="222222"/>
                <w:sz w:val="18"/>
              </w:rPr>
            </w:r>
            <w:r>
              <w:rPr>
                <w:rFonts w:ascii="Arial" w:hAnsi="Arial"/>
                <w:b/>
                <w:i w:val="0"/>
                <w:color w:val="1F4E5F"/>
                <w:sz w:val="17"/>
              </w:rPr>
              <w:t xml:space="preserve">Location / online link: </w:t>
            </w:r>
            <w:r>
              <w:rPr>
                <w:rFonts w:ascii="Arial" w:hAnsi="Arial"/>
                <w:b w:val="0"/>
                <w:i w:val="0"/>
                <w:color w:val="222222"/>
                <w:sz w:val="17"/>
              </w:rPr>
              <w:t>________________________________</w:t>
            </w:r>
          </w:p>
        </w:tc>
      </w:tr>
    </w:tbl>
    <w:p>
      <w:pPr>
        <w:spacing w:after="0"/>
      </w:pPr>
    </w:p>
    <w:tbl>
      <w:tblPr>
        <w:tblW w:type="auto" w:w="0"/>
        <w:jc w:val="center"/>
        <w:tblLayout w:type="fixed"/>
        <w:tblLook w:firstColumn="1" w:firstRow="1" w:lastColumn="0" w:lastRow="0" w:noHBand="0" w:noVBand="1" w:val="04A0"/>
      </w:tblPr>
      <w:tblGrid>
        <w:gridCol w:w="9458"/>
      </w:tblGrid>
      <w:tr>
        <w:trPr>
          <w:cantSplit/>
        </w:trPr>
        <w:tc>
          <w:tcPr>
            <w:tcW w:type="dxa" w:w="9458"/>
            <w:shd w:fill="EEF5F6"/>
            <w:tcBorders>
              <w:top w:val="single" w:sz="4" w:color="EEF5F6"/>
              <w:left w:val="single" w:sz="16" w:color="5F8F9D"/>
              <w:bottom w:val="single" w:sz="4" w:color="EEF5F6"/>
              <w:right w:val="single" w:sz="4" w:color="EEF5F6"/>
            </w:tcBorders>
            <w:tcMar>
              <w:top w:w="100" w:type="dxa"/>
              <w:start w:w="130" w:type="dxa"/>
              <w:bottom w:w="100" w:type="dxa"/>
              <w:end w:w="120" w:type="dxa"/>
            </w:tcMar>
          </w:tcPr>
          <w:p>
            <w:pPr>
              <w:spacing w:after="40"/>
            </w:pPr>
            <w:r/>
            <w:r>
              <w:rPr>
                <w:rFonts w:ascii="Arial" w:hAnsi="Arial"/>
                <w:b/>
                <w:i w:val="0"/>
                <w:color w:val="1F4E5F"/>
                <w:sz w:val="19"/>
              </w:rPr>
              <w:t>Purpose</w:t>
            </w:r>
          </w:p>
          <w:p>
            <w:pPr>
              <w:spacing w:after="0"/>
            </w:pPr>
            <w:r>
              <w:rPr>
                <w:rFonts w:ascii="Arial" w:hAnsi="Arial"/>
                <w:b w:val="0"/>
                <w:i w:val="0"/>
                <w:color w:val="222222"/>
                <w:sz w:val="18"/>
              </w:rPr>
              <w:t>Use this meeting to confirm that the project is genuinely ready to start, that responsibilities are understood and that the contractor can mobilise safely and in accordance with the contract. Do not treat the meeting as permission to overlook missing appointments, approvals, information or statutory requirements.</w:t>
            </w:r>
          </w:p>
        </w:tc>
      </w:tr>
    </w:tbl>
    <w:p>
      <w:pPr>
        <w:pStyle w:val="Heading1"/>
      </w:pPr>
      <w:r>
        <w:t>1. Attendance and authority</w:t>
      </w:r>
    </w:p>
    <w:tbl>
      <w:tblPr>
        <w:tblStyle w:val="TableGrid"/>
        <w:tblW w:type="auto" w:w="0"/>
        <w:jc w:val="center"/>
        <w:tblLayout w:type="fixed"/>
        <w:tblLook w:firstColumn="1" w:firstRow="1" w:lastColumn="0" w:lastRow="0" w:noHBand="0" w:noVBand="1" w:val="04A0"/>
      </w:tblPr>
      <w:tblGrid>
        <w:gridCol w:w="1892"/>
        <w:gridCol w:w="1892"/>
        <w:gridCol w:w="1892"/>
        <w:gridCol w:w="1892"/>
        <w:gridCol w:w="1892"/>
      </w:tblGrid>
      <w:tr>
        <w:trPr>
          <w:tblHeader w:val="true"/>
        </w:trPr>
        <w:tc>
          <w:tcPr>
            <w:tcW w:type="dxa" w:w="1928"/>
            <w:vAlign w:val="center"/>
            <w:shd w:fill="1F4E5F"/>
          </w:tcPr>
          <w:p>
            <w:pPr>
              <w:spacing w:after="0" w:before="0" w:line="240" w:lineRule="auto"/>
              <w:jc w:val="center"/>
            </w:pPr>
            <w:r/>
            <w:r>
              <w:rPr>
                <w:rFonts w:ascii="Arial" w:hAnsi="Arial"/>
                <w:b/>
                <w:i w:val="0"/>
                <w:color w:val="FFFFFF"/>
                <w:sz w:val="17"/>
              </w:rPr>
              <w:t>Name</w:t>
            </w:r>
          </w:p>
        </w:tc>
        <w:tc>
          <w:tcPr>
            <w:tcW w:type="dxa" w:w="2098"/>
            <w:vAlign w:val="center"/>
            <w:shd w:fill="1F4E5F"/>
          </w:tcPr>
          <w:p>
            <w:pPr>
              <w:spacing w:after="0" w:before="0" w:line="240" w:lineRule="auto"/>
              <w:jc w:val="center"/>
            </w:pPr>
            <w:r/>
            <w:r>
              <w:rPr>
                <w:rFonts w:ascii="Arial" w:hAnsi="Arial"/>
                <w:b/>
                <w:i w:val="0"/>
                <w:color w:val="FFFFFF"/>
                <w:sz w:val="17"/>
              </w:rPr>
              <w:t>Organisation</w:t>
            </w:r>
          </w:p>
        </w:tc>
        <w:tc>
          <w:tcPr>
            <w:tcW w:type="dxa" w:w="1871"/>
            <w:vAlign w:val="center"/>
            <w:shd w:fill="1F4E5F"/>
          </w:tcPr>
          <w:p>
            <w:pPr>
              <w:spacing w:after="0" w:before="0" w:line="240" w:lineRule="auto"/>
              <w:jc w:val="center"/>
            </w:pPr>
            <w:r/>
            <w:r>
              <w:rPr>
                <w:rFonts w:ascii="Arial" w:hAnsi="Arial"/>
                <w:b/>
                <w:i w:val="0"/>
                <w:color w:val="FFFFFF"/>
                <w:sz w:val="17"/>
              </w:rPr>
              <w:t>Role</w:t>
            </w:r>
          </w:p>
        </w:tc>
        <w:tc>
          <w:tcPr>
            <w:tcW w:type="dxa" w:w="1134"/>
            <w:vAlign w:val="center"/>
            <w:shd w:fill="1F4E5F"/>
          </w:tcPr>
          <w:p>
            <w:pPr>
              <w:spacing w:after="0" w:before="0" w:line="240" w:lineRule="auto"/>
              <w:jc w:val="center"/>
            </w:pPr>
            <w:r/>
            <w:r>
              <w:rPr>
                <w:rFonts w:ascii="Arial" w:hAnsi="Arial"/>
                <w:b/>
                <w:i w:val="0"/>
                <w:color w:val="FFFFFF"/>
                <w:sz w:val="17"/>
              </w:rPr>
              <w:t>Attending</w:t>
            </w:r>
          </w:p>
        </w:tc>
        <w:tc>
          <w:tcPr>
            <w:tcW w:type="dxa" w:w="2154"/>
            <w:vAlign w:val="center"/>
            <w:shd w:fill="1F4E5F"/>
          </w:tcPr>
          <w:p>
            <w:pPr>
              <w:spacing w:after="0" w:before="0" w:line="240" w:lineRule="auto"/>
              <w:jc w:val="center"/>
            </w:pPr>
            <w:r/>
            <w:r>
              <w:rPr>
                <w:rFonts w:ascii="Arial" w:hAnsi="Arial"/>
                <w:b/>
                <w:i w:val="0"/>
                <w:color w:val="FFFFFF"/>
                <w:sz w:val="17"/>
              </w:rPr>
              <w:t>Authority / deputy</w:t>
            </w:r>
          </w:p>
        </w:tc>
      </w:tr>
      <w:tr>
        <w:tc>
          <w:tcPr>
            <w:tcW w:type="dxa" w:w="192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09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871"/>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13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15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r>
      <w:tr>
        <w:tc>
          <w:tcPr>
            <w:tcW w:type="dxa" w:w="192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09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871"/>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13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15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r>
      <w:tr>
        <w:tc>
          <w:tcPr>
            <w:tcW w:type="dxa" w:w="192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09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871"/>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13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15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r>
      <w:tr>
        <w:tc>
          <w:tcPr>
            <w:tcW w:type="dxa" w:w="192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09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871"/>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13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15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r>
      <w:tr>
        <w:tc>
          <w:tcPr>
            <w:tcW w:type="dxa" w:w="192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09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871"/>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13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15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r>
      <w:tr>
        <w:tc>
          <w:tcPr>
            <w:tcW w:type="dxa" w:w="192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098"/>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871"/>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113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c>
          <w:tcPr>
            <w:tcW w:type="dxa" w:w="2154"/>
            <w:vAlign w:val="center"/>
            <w:tcMar>
              <w:top w:w="130" w:type="dxa"/>
              <w:start w:w="90" w:type="dxa"/>
              <w:bottom w:w="130" w:type="dxa"/>
              <w:end w:w="90" w:type="dxa"/>
            </w:tcMar>
          </w:tcPr>
          <w:p>
            <w:pPr>
              <w:spacing w:after="0" w:before="0" w:line="240" w:lineRule="auto"/>
              <w:jc w:val="left"/>
            </w:pPr>
            <w:r/>
            <w:r>
              <w:rPr>
                <w:rFonts w:ascii="Arial" w:hAnsi="Arial"/>
                <w:b w:val="0"/>
                <w:i w:val="0"/>
                <w:color w:val="222222"/>
                <w:sz w:val="17"/>
              </w:rPr>
            </w:r>
          </w:p>
        </w:tc>
      </w:tr>
    </w:tbl>
    <w:p>
      <w:pPr>
        <w:pStyle w:val="Heading1"/>
      </w:pPr>
      <w:r>
        <w:t>2. Pre-meeting readiness check</w:t>
      </w:r>
    </w:p>
    <w:tbl>
      <w:tblPr>
        <w:tblStyle w:val="TableGrid"/>
        <w:tblW w:type="auto" w:w="0"/>
        <w:tblLayout w:type="fixed"/>
        <w:tblLook w:firstColumn="1" w:firstRow="1" w:lastColumn="0" w:lastRow="0" w:noHBand="0" w:noVBand="1" w:val="04A0"/>
      </w:tblPr>
      <w:tblGrid>
        <w:gridCol w:w="2364"/>
        <w:gridCol w:w="2364"/>
        <w:gridCol w:w="2364"/>
        <w:gridCol w:w="2364"/>
      </w:tblGrid>
      <w:tr>
        <w:trPr>
          <w:tblHeader w:val="true"/>
        </w:trPr>
        <w:tc>
          <w:tcPr>
            <w:tcW w:type="dxa" w:w="4252"/>
            <w:vAlign w:val="center"/>
            <w:shd w:fill="1F4E5F"/>
          </w:tcPr>
          <w:p>
            <w:pPr>
              <w:spacing w:after="0" w:before="0" w:line="240" w:lineRule="auto"/>
              <w:jc w:val="center"/>
            </w:pPr>
            <w:r/>
            <w:r>
              <w:rPr>
                <w:rFonts w:ascii="Arial" w:hAnsi="Arial"/>
                <w:b/>
                <w:i w:val="0"/>
                <w:color w:val="FFFFFF"/>
                <w:sz w:val="16"/>
              </w:rPr>
              <w:t>Readiness item</w:t>
            </w:r>
          </w:p>
        </w:tc>
        <w:tc>
          <w:tcPr>
            <w:tcW w:type="dxa" w:w="1928"/>
            <w:vAlign w:val="center"/>
            <w:shd w:fill="1F4E5F"/>
          </w:tcPr>
          <w:p>
            <w:pPr>
              <w:spacing w:after="0" w:before="0" w:line="240" w:lineRule="auto"/>
              <w:jc w:val="center"/>
            </w:pPr>
            <w:r/>
            <w:r>
              <w:rPr>
                <w:rFonts w:ascii="Arial" w:hAnsi="Arial"/>
                <w:b/>
                <w:i w:val="0"/>
                <w:color w:val="FFFFFF"/>
                <w:sz w:val="16"/>
              </w:rPr>
              <w:t>Lead</w:t>
            </w:r>
          </w:p>
        </w:tc>
        <w:tc>
          <w:tcPr>
            <w:tcW w:type="dxa" w:w="1474"/>
            <w:vAlign w:val="center"/>
            <w:shd w:fill="1F4E5F"/>
          </w:tcPr>
          <w:p>
            <w:pPr>
              <w:spacing w:after="0" w:before="0" w:line="240" w:lineRule="auto"/>
              <w:jc w:val="center"/>
            </w:pPr>
            <w:r/>
            <w:r>
              <w:rPr>
                <w:rFonts w:ascii="Arial" w:hAnsi="Arial"/>
                <w:b/>
                <w:i w:val="0"/>
                <w:color w:val="FFFFFF"/>
                <w:sz w:val="16"/>
              </w:rPr>
              <w:t>Status</w:t>
            </w:r>
          </w:p>
        </w:tc>
        <w:tc>
          <w:tcPr>
            <w:tcW w:type="dxa" w:w="2098"/>
            <w:vAlign w:val="center"/>
            <w:shd w:fill="1F4E5F"/>
          </w:tcPr>
          <w:p>
            <w:pPr>
              <w:spacing w:after="0" w:before="0" w:line="240" w:lineRule="auto"/>
              <w:jc w:val="center"/>
            </w:pPr>
            <w:r/>
            <w:r>
              <w:rPr>
                <w:rFonts w:ascii="Arial" w:hAnsi="Arial"/>
                <w:b/>
                <w:i w:val="0"/>
                <w:color w:val="FFFFFF"/>
                <w:sz w:val="16"/>
              </w:rPr>
              <w:t>Evidence / action</w:t>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Contract / letter of acceptance executed or authority to proceed confirmed</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Client / contract administrator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Scope, drawings, specification and pricing documents identified by revision</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Designer / contract administrator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Principal designer and principal contractor appointments confirmed in writing where required</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Client</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Pre-construction information issued and outstanding gaps recorded</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Client / principal designer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Construction phase plan prepared and reviewed before construction starts</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Principal contractor / client</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Insurance evidence, bonds, warranties or guarantees received where required</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Contract administrator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Planning, Building Regulations and other required consents identified</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Lead designer / client</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Asbestos, services and other relevant surveys available to those who need them</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Client / principal designer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Start date, possession arrangements and access authority confirmed</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Client / contract administrator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r>
        <w:tc>
          <w:tcPr>
            <w:tcW w:type="dxa" w:w="4252"/>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Baseline programme and mobilisation requirements available</w:t>
            </w:r>
          </w:p>
        </w:tc>
        <w:tc>
          <w:tcPr>
            <w:tcW w:type="dxa" w:w="192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t>Principal contractor</w:t>
            </w:r>
          </w:p>
        </w:tc>
        <w:tc>
          <w:tcPr>
            <w:tcW w:type="dxa" w:w="1474"/>
            <w:vAlign w:val="center"/>
            <w:tcMar>
              <w:top w:w="95" w:type="dxa"/>
              <w:start w:w="90" w:type="dxa"/>
              <w:bottom w:w="95" w:type="dxa"/>
              <w:end w:w="90" w:type="dxa"/>
            </w:tcMar>
          </w:tcPr>
          <w:p>
            <w:pPr>
              <w:spacing w:after="0" w:before="0" w:line="240" w:lineRule="auto"/>
              <w:jc w:val="left"/>
            </w:pPr>
            <w:r/>
            <w:r>
              <w:rPr>
                <w:rFonts w:ascii="Arial" w:hAnsi="Arial"/>
                <w:b w:val="0"/>
                <w:i w:val="0"/>
                <w:color w:val="666666"/>
                <w:sz w:val="16"/>
              </w:rPr>
              <w:t>Ready / Action / N/A</w:t>
            </w:r>
          </w:p>
        </w:tc>
        <w:tc>
          <w:tcPr>
            <w:tcW w:type="dxa" w:w="2098"/>
            <w:vAlign w:val="center"/>
            <w:tcMar>
              <w:top w:w="95" w:type="dxa"/>
              <w:start w:w="90" w:type="dxa"/>
              <w:bottom w:w="95" w:type="dxa"/>
              <w:end w:w="90" w:type="dxa"/>
            </w:tcMar>
          </w:tcPr>
          <w:p>
            <w:pPr>
              <w:spacing w:after="0" w:before="0" w:line="240" w:lineRule="auto"/>
              <w:jc w:val="left"/>
            </w:pPr>
            <w:r/>
            <w:r>
              <w:rPr>
                <w:rFonts w:ascii="Arial" w:hAnsi="Arial"/>
                <w:b w:val="0"/>
                <w:i w:val="0"/>
                <w:color w:val="222222"/>
                <w:sz w:val="16"/>
              </w:rPr>
            </w:r>
          </w:p>
        </w:tc>
      </w:tr>
    </w:tbl>
    <w:p>
      <w:pPr>
        <w:pStyle w:val="Heading1"/>
      </w:pPr>
      <w:r>
        <w:t>3. Contract, scope and administration</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the contract particulars, documents and order of precedence.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Confirm who may issue contractual instructions and who may approve expenditure.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Record any contractor qualifications, clarifications or exclusions that remain applicable.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Confirm the procedure for notices, applications for payment, payment certification and retention, if applicable.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Confirm ownership and use of design information, confidentiality and document control.</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4. CDM, health, safety and welfare</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client, principal designer and principal contractor roles and contact points.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Confirm the construction phase plan is suitable for the work and will be kept under review.</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Review significant residual design risks and information still required.</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Confirm site induction, competence checks, supervision, worker consultation and emergency arrangements.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Confirm welfare facilities will be available from the start and maintained throughout.</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6. </w:t>
            </w:r>
            <w:r>
              <w:rPr>
                <w:rFonts w:ascii="Arial" w:hAnsi="Arial"/>
                <w:b w:val="0"/>
                <w:color w:val="222222"/>
                <w:sz w:val="17"/>
              </w:rPr>
              <w:t>Confirm arrangements for F10 notification and display where the project is notifiable.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5. Site possession, access and security</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Define the area being handed to the contractor and any areas remaining under client control.</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Confirm access routes, delivery arrangements, parking, loading, storage and lifting restrictions.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Agree working hours, keys, passes, alarm procedures and out-of-hours contacts.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Agree hoarding, fencing, segregation, signage and prevention of unauthorised access.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Confirm protection of occupants, neighbours, visitors, the public and vulnerable persons.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6. Existing building and site information</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Review asbestos information, intrusive survey limitations and the stop-work procedure for suspected materials.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Review known services, isolation points, permits, buried services and temporary supplies.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Review structural constraints, fragile materials, contamination, ground conditions and fire precautions.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Confirm protection of retained finishes, equipment, trees, heritage features and adjoining property.</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Record gaps in existing information and who will obtain or verify it.</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7. Programme and sequencing</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the contract start date, completion date and any sectional or phased dates.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Review the baseline programme, critical activities, design release dates and long-lead items.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Identify client decisions, access dates, shutdowns, decants and third-party activities that affect progress.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Confirm progress reporting, early warning of delay and the process for programme revisions.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Record restrictions linked to occupied premises or business continuity.</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8. Design, information and quality</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current drawing, specification and schedule revisions.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Agree the request-for-information process, response times and design responsibility boundaries.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Agree samples, mock-ups, benchmarks, hold points, inspections and test plans.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Confirm substitution proposals require written review and approval before ordering or installation.</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Agree how non-conforming work will be recorded, corrected and closed.</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9. Change and financial control</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that no change is to be implemented on a verbal request alone unless an emergency procedure applies.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Agree how changes will be described, priced, assessed, authorised and included in forecasts.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Confirm who holds contingency and the authority thresholds for its use.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Agree valuation dates, supporting records, treatment of materials and evidence required.</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Confirm the financial tracker and variation log update cycle.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10. Communication and reporting</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Agree meeting frequency, attendees, chair, minute issuer and timescale for comments.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Agree the project directory, communication routes and escalation procedure.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Confirm progress photographs, reports, permits, daily records and incident reporting.</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Agree how actions, decisions, risks and approvals will be recorded.</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Confirm media, neighbour and stakeholder communications remain controlled by the client unless agreed otherwise.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11. Environmental and operational controls</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waste management, dust, noise, vibration, water, energy and pollution controls.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Identify environmental permits, ecological constraints and hazardous-material storage requirements.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Agree housekeeping, cleaning, pest control and protection of drainage.</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Confirm temporary fire strategy, impairment notices and service shutdown approvals.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Agree business continuity and emergency recovery arrangements.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12. Handover and completion expectations</w:t>
      </w: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1. </w:t>
            </w:r>
            <w:r>
              <w:rPr>
                <w:rFonts w:ascii="Arial" w:hAnsi="Arial"/>
                <w:b w:val="0"/>
                <w:color w:val="222222"/>
                <w:sz w:val="17"/>
              </w:rPr>
              <w:t>Confirm the required format, structure and timing for O&amp;M information and as-built records.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2. </w:t>
            </w:r>
            <w:r>
              <w:rPr>
                <w:rFonts w:ascii="Arial" w:hAnsi="Arial"/>
                <w:b w:val="0"/>
                <w:color w:val="222222"/>
                <w:sz w:val="17"/>
              </w:rPr>
              <w:t>Agree commissioning, witnessing, training and seasonal commissioning requirements.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3. </w:t>
            </w:r>
            <w:r>
              <w:rPr>
                <w:rFonts w:ascii="Arial" w:hAnsi="Arial"/>
                <w:b w:val="0"/>
                <w:color w:val="222222"/>
                <w:sz w:val="17"/>
              </w:rPr>
              <w:t>Confirm keys, access controls, spares, warranties, certificates and statutory approvals required at handover.</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4. </w:t>
            </w:r>
            <w:r>
              <w:rPr>
                <w:rFonts w:ascii="Arial" w:hAnsi="Arial"/>
                <w:b w:val="0"/>
                <w:color w:val="222222"/>
                <w:sz w:val="17"/>
              </w:rPr>
              <w:t>Agree snagging, defects reporting, practical completion readiness and occupation restrictions.</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tbl>
      <w:tblPr>
        <w:tblStyle w:val="TableGrid"/>
        <w:tblW w:type="auto" w:w="0"/>
        <w:jc w:val="center"/>
        <w:tblLayout w:type="fixed"/>
        <w:tblLook w:firstColumn="1" w:firstRow="1" w:lastColumn="0" w:lastRow="0" w:noHBand="0" w:noVBand="1" w:val="04A0"/>
      </w:tblPr>
      <w:tblGrid>
        <w:gridCol w:w="3153"/>
        <w:gridCol w:w="3153"/>
        <w:gridCol w:w="3153"/>
      </w:tblGrid>
      <w:tr>
        <w:trPr>
          <w:cantSplit/>
        </w:trPr>
        <w:tc>
          <w:tcPr>
            <w:tcW w:type="dxa" w:w="5726"/>
            <w:vAlign w:val="center"/>
            <w:gridSpan w:val="2"/>
            <w:shd w:fill="EEF5F6"/>
            <w:tcMar>
              <w:top w:w="100" w:type="dxa"/>
              <w:start w:w="90" w:type="dxa"/>
              <w:bottom w:w="100" w:type="dxa"/>
              <w:end w:w="90" w:type="dxa"/>
            </w:tcMar>
          </w:tcPr>
          <w:p>
            <w:pPr>
              <w:spacing w:after="0"/>
            </w:pPr>
            <w:r/>
            <w:r>
              <w:rPr>
                <w:rFonts w:ascii="Arial" w:hAnsi="Arial"/>
                <w:b/>
                <w:color w:val="1F4E5F"/>
                <w:sz w:val="17"/>
              </w:rPr>
              <w:t xml:space="preserve">5. </w:t>
            </w:r>
            <w:r>
              <w:rPr>
                <w:rFonts w:ascii="Arial" w:hAnsi="Arial"/>
                <w:b w:val="0"/>
                <w:color w:val="222222"/>
                <w:sz w:val="17"/>
              </w:rPr>
              <w:t>Confirm final account, retention and defects-period processes are governed by the contract.</w:t>
            </w:r>
          </w:p>
        </w:tc>
        <w:tc>
          <w:tcPr>
            <w:tcW w:type="dxa" w:w="3798"/>
            <w:vAlign w:val="center"/>
            <w:tcMar>
              <w:top w:w="100" w:type="dxa"/>
              <w:start w:w="90" w:type="dxa"/>
              <w:bottom w:w="100" w:type="dxa"/>
              <w:end w:w="90" w:type="dxa"/>
            </w:tcMar>
          </w:tcPr>
          <w:p>
            <w:pPr>
              <w:spacing w:after="0"/>
            </w:pPr>
            <w:r/>
            <w:r>
              <w:rPr>
                <w:rFonts w:ascii="Arial" w:hAnsi="Arial"/>
                <w:b w:val="0"/>
                <w:color w:val="666666"/>
                <w:sz w:val="16"/>
              </w:rPr>
              <w:t>Discussion / decision:</w:t>
            </w:r>
          </w:p>
        </w:tc>
      </w:tr>
    </w:tbl>
    <w:p>
      <w:pPr>
        <w:spacing w:after="0"/>
      </w:pPr>
    </w:p>
    <w:p>
      <w:pPr>
        <w:pStyle w:val="Heading1"/>
      </w:pPr>
      <w:r>
        <w:t>13. Actions and decisions</w:t>
      </w:r>
    </w:p>
    <w:tbl>
      <w:tblPr>
        <w:tblStyle w:val="TableGrid"/>
        <w:tblW w:type="auto" w:w="0"/>
        <w:tblLayout w:type="fixed"/>
        <w:tblLook w:firstColumn="1" w:firstRow="1" w:lastColumn="0" w:lastRow="0" w:noHBand="0" w:noVBand="1" w:val="04A0"/>
      </w:tblPr>
      <w:tblGrid>
        <w:gridCol w:w="1351"/>
        <w:gridCol w:w="1351"/>
        <w:gridCol w:w="1351"/>
        <w:gridCol w:w="1351"/>
        <w:gridCol w:w="1351"/>
        <w:gridCol w:w="1351"/>
        <w:gridCol w:w="1351"/>
      </w:tblGrid>
      <w:tr>
        <w:trPr>
          <w:tblHeader w:val="true"/>
        </w:trPr>
        <w:tc>
          <w:tcPr>
            <w:tcW w:type="dxa" w:w="624"/>
            <w:vAlign w:val="center"/>
            <w:shd w:fill="1F4E5F"/>
          </w:tcPr>
          <w:p>
            <w:pPr>
              <w:spacing w:after="0" w:before="0" w:line="240" w:lineRule="auto"/>
              <w:jc w:val="center"/>
            </w:pPr>
            <w:r/>
            <w:r>
              <w:rPr>
                <w:rFonts w:ascii="Arial" w:hAnsi="Arial"/>
                <w:b/>
                <w:i w:val="0"/>
                <w:color w:val="FFFFFF"/>
                <w:sz w:val="16"/>
              </w:rPr>
              <w:t>Ref</w:t>
            </w:r>
          </w:p>
        </w:tc>
        <w:tc>
          <w:tcPr>
            <w:tcW w:type="dxa" w:w="3628"/>
            <w:vAlign w:val="center"/>
            <w:shd w:fill="1F4E5F"/>
          </w:tcPr>
          <w:p>
            <w:pPr>
              <w:spacing w:after="0" w:before="0" w:line="240" w:lineRule="auto"/>
              <w:jc w:val="center"/>
            </w:pPr>
            <w:r/>
            <w:r>
              <w:rPr>
                <w:rFonts w:ascii="Arial" w:hAnsi="Arial"/>
                <w:b/>
                <w:i w:val="0"/>
                <w:color w:val="FFFFFF"/>
                <w:sz w:val="16"/>
              </w:rPr>
              <w:t>Action / decision</w:t>
            </w:r>
          </w:p>
        </w:tc>
        <w:tc>
          <w:tcPr>
            <w:tcW w:type="dxa" w:w="1474"/>
            <w:vAlign w:val="center"/>
            <w:shd w:fill="1F4E5F"/>
          </w:tcPr>
          <w:p>
            <w:pPr>
              <w:spacing w:after="0" w:before="0" w:line="240" w:lineRule="auto"/>
              <w:jc w:val="center"/>
            </w:pPr>
            <w:r/>
            <w:r>
              <w:rPr>
                <w:rFonts w:ascii="Arial" w:hAnsi="Arial"/>
                <w:b/>
                <w:i w:val="0"/>
                <w:color w:val="FFFFFF"/>
                <w:sz w:val="16"/>
              </w:rPr>
              <w:t>Owner</w:t>
            </w:r>
          </w:p>
        </w:tc>
        <w:tc>
          <w:tcPr>
            <w:tcW w:type="dxa" w:w="1191"/>
            <w:vAlign w:val="center"/>
            <w:shd w:fill="1F4E5F"/>
          </w:tcPr>
          <w:p>
            <w:pPr>
              <w:spacing w:after="0" w:before="0" w:line="240" w:lineRule="auto"/>
              <w:jc w:val="center"/>
            </w:pPr>
            <w:r/>
            <w:r>
              <w:rPr>
                <w:rFonts w:ascii="Arial" w:hAnsi="Arial"/>
                <w:b/>
                <w:i w:val="0"/>
                <w:color w:val="FFFFFF"/>
                <w:sz w:val="16"/>
              </w:rPr>
              <w:t>Due</w:t>
            </w:r>
          </w:p>
        </w:tc>
        <w:tc>
          <w:tcPr>
            <w:tcW w:type="dxa" w:w="1020"/>
            <w:vAlign w:val="center"/>
            <w:shd w:fill="1F4E5F"/>
          </w:tcPr>
          <w:p>
            <w:pPr>
              <w:spacing w:after="0" w:before="0" w:line="240" w:lineRule="auto"/>
              <w:jc w:val="center"/>
            </w:pPr>
            <w:r/>
            <w:r>
              <w:rPr>
                <w:rFonts w:ascii="Arial" w:hAnsi="Arial"/>
                <w:b/>
                <w:i w:val="0"/>
                <w:color w:val="FFFFFF"/>
                <w:sz w:val="16"/>
              </w:rPr>
              <w:t>Priority</w:t>
            </w:r>
          </w:p>
        </w:tc>
        <w:tc>
          <w:tcPr>
            <w:tcW w:type="dxa" w:w="1134"/>
            <w:vAlign w:val="center"/>
            <w:shd w:fill="1F4E5F"/>
          </w:tcPr>
          <w:p>
            <w:pPr>
              <w:spacing w:after="0" w:before="0" w:line="240" w:lineRule="auto"/>
              <w:jc w:val="center"/>
            </w:pPr>
            <w:r/>
            <w:r>
              <w:rPr>
                <w:rFonts w:ascii="Arial" w:hAnsi="Arial"/>
                <w:b/>
                <w:i w:val="0"/>
                <w:color w:val="FFFFFF"/>
                <w:sz w:val="16"/>
              </w:rPr>
              <w:t>Status</w:t>
            </w:r>
          </w:p>
        </w:tc>
        <w:tc>
          <w:tcPr>
            <w:tcW w:type="dxa" w:w="1701"/>
            <w:vAlign w:val="center"/>
            <w:shd w:fill="1F4E5F"/>
          </w:tcPr>
          <w:p>
            <w:pPr>
              <w:spacing w:after="0" w:before="0" w:line="240" w:lineRule="auto"/>
              <w:jc w:val="center"/>
            </w:pPr>
            <w:r/>
            <w:r>
              <w:rPr>
                <w:rFonts w:ascii="Arial" w:hAnsi="Arial"/>
                <w:b/>
                <w:i w:val="0"/>
                <w:color w:val="FFFFFF"/>
                <w:sz w:val="16"/>
              </w:rPr>
              <w:t>Closed / evidence</w:t>
            </w:r>
          </w:p>
        </w:tc>
      </w:tr>
      <w:tr>
        <w:tc>
          <w:tcPr>
            <w:tcW w:type="dxa" w:w="624"/>
            <w:vAlign w:val="center"/>
          </w:tcPr>
          <w:p>
            <w:pPr>
              <w:spacing w:after="0" w:before="0" w:line="240" w:lineRule="auto"/>
              <w:jc w:val="left"/>
            </w:pPr>
            <w:r/>
            <w:r>
              <w:rPr>
                <w:rFonts w:ascii="Arial" w:hAnsi="Arial"/>
                <w:b w:val="0"/>
                <w:i w:val="0"/>
                <w:color w:val="666666"/>
                <w:sz w:val="16"/>
              </w:rPr>
              <w:t>A01</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A02</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A03</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A04</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A05</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A06</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A07</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A08</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r>
        <w:tc>
          <w:tcPr>
            <w:tcW w:type="dxa" w:w="624"/>
            <w:vAlign w:val="center"/>
          </w:tcPr>
          <w:p>
            <w:pPr>
              <w:spacing w:after="0" w:before="0" w:line="240" w:lineRule="auto"/>
              <w:jc w:val="left"/>
            </w:pPr>
            <w:r/>
            <w:r>
              <w:rPr>
                <w:rFonts w:ascii="Arial" w:hAnsi="Arial"/>
                <w:b w:val="0"/>
                <w:i w:val="0"/>
                <w:color w:val="666666"/>
                <w:sz w:val="16"/>
              </w:rPr>
              <w:t>A09</w:t>
            </w:r>
          </w:p>
        </w:tc>
        <w:tc>
          <w:tcPr>
            <w:tcW w:type="dxa" w:w="3628"/>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47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9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020"/>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134"/>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c>
          <w:tcPr>
            <w:tcW w:type="dxa" w:w="1701"/>
            <w:vAlign w:val="center"/>
            <w:tcMar>
              <w:top w:w="125" w:type="dxa"/>
              <w:start w:w="90" w:type="dxa"/>
              <w:bottom w:w="125" w:type="dxa"/>
              <w:end w:w="90" w:type="dxa"/>
            </w:tcMar>
          </w:tcPr>
          <w:p>
            <w:pPr>
              <w:spacing w:after="0" w:before="0" w:line="240" w:lineRule="auto"/>
              <w:jc w:val="left"/>
            </w:pPr>
            <w:r/>
            <w:r>
              <w:rPr>
                <w:rFonts w:ascii="Arial" w:hAnsi="Arial"/>
                <w:b w:val="0"/>
                <w:i w:val="0"/>
                <w:color w:val="222222"/>
                <w:sz w:val="16"/>
              </w:rPr>
            </w:r>
          </w:p>
        </w:tc>
      </w:tr>
    </w:tbl>
    <w:tbl>
      <w:tblPr>
        <w:tblW w:type="auto" w:w="0"/>
        <w:jc w:val="center"/>
        <w:tblLayout w:type="fixed"/>
        <w:tblLook w:firstColumn="1" w:firstRow="1" w:lastColumn="0" w:lastRow="0" w:noHBand="0" w:noVBand="1" w:val="04A0"/>
      </w:tblPr>
      <w:tblGrid>
        <w:gridCol w:w="9458"/>
      </w:tblGrid>
      <w:tr>
        <w:trPr>
          <w:cantSplit/>
        </w:trPr>
        <w:tc>
          <w:tcPr>
            <w:tcW w:type="dxa" w:w="9458"/>
            <w:shd w:fill="FFF4DD"/>
            <w:tcBorders>
              <w:top w:val="single" w:sz="4" w:color="FFF4DD"/>
              <w:left w:val="single" w:sz="16" w:color="D89B2B"/>
              <w:bottom w:val="single" w:sz="4" w:color="FFF4DD"/>
              <w:right w:val="single" w:sz="4" w:color="FFF4DD"/>
            </w:tcBorders>
            <w:tcMar>
              <w:top w:w="100" w:type="dxa"/>
              <w:start w:w="130" w:type="dxa"/>
              <w:bottom w:w="100" w:type="dxa"/>
              <w:end w:w="120" w:type="dxa"/>
            </w:tcMar>
          </w:tcPr>
          <w:p>
            <w:pPr>
              <w:spacing w:after="40"/>
            </w:pPr>
            <w:r/>
            <w:r>
              <w:rPr>
                <w:rFonts w:ascii="Arial" w:hAnsi="Arial"/>
                <w:b/>
                <w:i w:val="0"/>
                <w:color w:val="1F4E5F"/>
                <w:sz w:val="19"/>
              </w:rPr>
              <w:t>Meeting close</w:t>
            </w:r>
          </w:p>
          <w:p>
            <w:pPr>
              <w:spacing w:after="0"/>
            </w:pPr>
            <w:r>
              <w:rPr>
                <w:rFonts w:ascii="Arial" w:hAnsi="Arial"/>
                <w:b w:val="0"/>
                <w:i w:val="0"/>
                <w:color w:val="222222"/>
                <w:sz w:val="18"/>
              </w:rPr>
              <w:t>Confirm whether the project is ready to start. Where conditions remain outstanding, record whether they prevent possession or construction, who is responsible and the deadline for closure. Issue minutes promptly and correct factual errors without rewriting decisions after the event.</w:t>
            </w:r>
          </w:p>
        </w:tc>
      </w:tr>
    </w:tbl>
    <w:p>
      <w:pPr>
        <w:pStyle w:val="Heading1"/>
      </w:pPr>
      <w:r>
        <w:t>Reference basis and limitations</w:t>
      </w:r>
    </w:p>
    <w:p>
      <w:r>
        <w:rPr>
          <w:rFonts w:ascii="Arial" w:hAnsi="Arial"/>
          <w:b w:val="0"/>
          <w:i w:val="0"/>
          <w:color w:val="222222"/>
          <w:sz w:val="18"/>
        </w:rPr>
        <w:t>These templates are practical client-side controls. They are not a substitute for the building contract, professional appointments, statutory documents, legal advice or the duties of designers, contractors and CDM dutyholders.</w:t>
      </w:r>
    </w:p>
    <w:p>
      <w:pPr>
        <w:spacing w:after="80"/>
      </w:pPr>
      <w:r>
        <w:rPr>
          <w:rFonts w:ascii="Arial" w:hAnsi="Arial"/>
          <w:b/>
          <w:i w:val="0"/>
          <w:color w:val="1F4E5F"/>
          <w:sz w:val="18"/>
        </w:rPr>
        <w:t>HSE, Managing health and safety in construction (L153)</w:t>
      </w:r>
    </w:p>
    <w:p>
      <w:pPr>
        <w:spacing w:after="100"/>
        <w:ind w:left="283"/>
      </w:pPr>
      <w:r>
        <w:rPr>
          <w:rFonts w:ascii="Arial" w:hAnsi="Arial"/>
          <w:b w:val="0"/>
          <w:i w:val="0"/>
          <w:color w:val="666666"/>
          <w:sz w:val="16"/>
        </w:rPr>
        <w:t>https://www.hse.gov.uk/pubns/priced/l153.pdf</w:t>
      </w:r>
    </w:p>
    <w:p>
      <w:pPr>
        <w:spacing w:after="80"/>
      </w:pPr>
      <w:r>
        <w:rPr>
          <w:rFonts w:ascii="Arial" w:hAnsi="Arial"/>
          <w:b/>
          <w:i w:val="0"/>
          <w:color w:val="1F4E5F"/>
          <w:sz w:val="18"/>
        </w:rPr>
        <w:t>HSE, Commercial clients: roles and responsibilities</w:t>
      </w:r>
    </w:p>
    <w:p>
      <w:pPr>
        <w:spacing w:after="100"/>
        <w:ind w:left="283"/>
      </w:pPr>
      <w:r>
        <w:rPr>
          <w:rFonts w:ascii="Arial" w:hAnsi="Arial"/>
          <w:b w:val="0"/>
          <w:i w:val="0"/>
          <w:color w:val="666666"/>
          <w:sz w:val="16"/>
        </w:rPr>
        <w:t>https://www.hse.gov.uk/construction/cdm/2015/commercial-clients.htm</w:t>
      </w:r>
    </w:p>
    <w:p>
      <w:pPr>
        <w:spacing w:after="80"/>
      </w:pPr>
      <w:r>
        <w:rPr>
          <w:rFonts w:ascii="Arial" w:hAnsi="Arial"/>
          <w:b/>
          <w:i w:val="0"/>
          <w:color w:val="1F4E5F"/>
          <w:sz w:val="18"/>
        </w:rPr>
        <w:t>HSE, Construction Phase Plan (CIS80)</w:t>
      </w:r>
    </w:p>
    <w:p>
      <w:pPr>
        <w:spacing w:after="100"/>
        <w:ind w:left="283"/>
      </w:pPr>
      <w:r>
        <w:rPr>
          <w:rFonts w:ascii="Arial" w:hAnsi="Arial"/>
          <w:b w:val="0"/>
          <w:i w:val="0"/>
          <w:color w:val="666666"/>
          <w:sz w:val="16"/>
        </w:rPr>
        <w:t>https://www.hse.gov.uk/pubns/cis80.pdf</w:t>
      </w:r>
    </w:p>
    <w:p>
      <w:pPr>
        <w:spacing w:after="80"/>
      </w:pPr>
      <w:r>
        <w:rPr>
          <w:rFonts w:ascii="Arial" w:hAnsi="Arial"/>
          <w:b/>
          <w:i w:val="0"/>
          <w:color w:val="1F4E5F"/>
          <w:sz w:val="18"/>
        </w:rPr>
        <w:t>Cabinet Office, The Construction Playbook</w:t>
      </w:r>
    </w:p>
    <w:p>
      <w:pPr>
        <w:spacing w:after="100"/>
        <w:ind w:left="283"/>
      </w:pPr>
      <w:r>
        <w:rPr>
          <w:rFonts w:ascii="Arial" w:hAnsi="Arial"/>
          <w:b w:val="0"/>
          <w:i w:val="0"/>
          <w:color w:val="666666"/>
          <w:sz w:val="16"/>
        </w:rPr>
        <w:t>https://www.gov.uk/government/publications/the-construction-playbook</w:t>
      </w:r>
    </w:p>
    <w:p>
      <w:pPr>
        <w:spacing w:after="80"/>
      </w:pPr>
      <w:r>
        <w:rPr>
          <w:rFonts w:ascii="Arial" w:hAnsi="Arial"/>
          <w:b/>
          <w:i w:val="0"/>
          <w:color w:val="1F4E5F"/>
          <w:sz w:val="18"/>
        </w:rPr>
        <w:t>Infrastructure and Projects Authority, Project Routemap: Risk Management</w:t>
      </w:r>
    </w:p>
    <w:p>
      <w:pPr>
        <w:spacing w:after="100"/>
        <w:ind w:left="283"/>
      </w:pPr>
      <w:r>
        <w:rPr>
          <w:rFonts w:ascii="Arial" w:hAnsi="Arial"/>
          <w:b w:val="0"/>
          <w:i w:val="0"/>
          <w:color w:val="666666"/>
          <w:sz w:val="16"/>
        </w:rPr>
        <w:t>https://assets.publishing.service.gov.uk/media/62972049e90e070395bb3ded/Risk_Management_-_FINAL.pdf</w:t>
      </w:r>
    </w:p>
    <w:tbl>
      <w:tblPr>
        <w:tblW w:type="auto" w:w="0"/>
        <w:jc w:val="center"/>
        <w:tblLayout w:type="fixed"/>
        <w:tblLook w:firstColumn="1" w:firstRow="1" w:lastColumn="0" w:lastRow="0" w:noHBand="0" w:noVBand="1" w:val="04A0"/>
      </w:tblPr>
      <w:tblGrid>
        <w:gridCol w:w="9458"/>
      </w:tblGrid>
      <w:tr>
        <w:trPr>
          <w:cantSplit/>
        </w:trPr>
        <w:tc>
          <w:tcPr>
            <w:tcW w:type="dxa" w:w="9458"/>
            <w:shd w:fill="EEF5F6"/>
            <w:tcBorders>
              <w:top w:val="single" w:sz="4" w:color="EEF5F6"/>
              <w:left w:val="single" w:sz="16" w:color="5F8F9D"/>
              <w:bottom w:val="single" w:sz="4" w:color="EEF5F6"/>
              <w:right w:val="single" w:sz="4" w:color="EEF5F6"/>
            </w:tcBorders>
            <w:tcMar>
              <w:top w:w="100" w:type="dxa"/>
              <w:start w:w="130" w:type="dxa"/>
              <w:bottom w:w="100" w:type="dxa"/>
              <w:end w:w="120" w:type="dxa"/>
            </w:tcMar>
          </w:tcPr>
          <w:p>
            <w:pPr>
              <w:spacing w:after="40"/>
            </w:pPr>
            <w:r/>
            <w:r>
              <w:rPr>
                <w:rFonts w:ascii="Arial" w:hAnsi="Arial"/>
                <w:b/>
                <w:i w:val="0"/>
                <w:color w:val="1F4E5F"/>
                <w:sz w:val="19"/>
              </w:rPr>
              <w:t>Review before use</w:t>
            </w:r>
          </w:p>
          <w:p>
            <w:pPr>
              <w:spacing w:after="0"/>
            </w:pPr>
            <w:r>
              <w:rPr>
                <w:rFonts w:ascii="Arial" w:hAnsi="Arial"/>
                <w:b w:val="0"/>
                <w:i w:val="0"/>
                <w:color w:val="222222"/>
                <w:sz w:val="18"/>
              </w:rPr>
              <w:t>Confirm the applicable procurement route, form of contract, payment timetable, delegated authority levels, statutory duties and project-specific risks. Remove prompts that are not relevant and add project-specific controls.</w:t>
            </w:r>
          </w:p>
        </w:tc>
      </w:tr>
    </w:tbl>
    <w:sectPr w:rsidR="00FC693F" w:rsidRPr="0006063C" w:rsidSect="00034616">
      <w:headerReference w:type="default" r:id="rId9"/>
      <w:footerReference w:type="default" r:id="rId10"/>
      <w:pgSz w:w="11906" w:h="16838"/>
      <w:pgMar w:top="1181" w:right="1224" w:bottom="1123" w:left="1224" w:header="403"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ayout w:type="fixed"/>
      <w:tblLook w:firstColumn="1" w:firstRow="1" w:lastColumn="0" w:lastRow="0" w:noHBand="0" w:noVBand="1" w:val="04A0"/>
    </w:tblPr>
    <w:tblGrid>
      <w:gridCol w:w="3010"/>
      <w:gridCol w:w="3010"/>
      <w:gridCol w:w="3010"/>
    </w:tblGrid>
    <w:tr>
      <w:tc>
        <w:tcPr>
          <w:tcW w:type="dxa" w:w="3010"/>
          <w:vAlign w:val="center"/>
        </w:tcPr>
        <w:p>
          <w:pPr>
            <w:spacing w:after="0" w:before="0" w:line="240" w:lineRule="auto"/>
            <w:jc w:val="left"/>
          </w:pPr>
          <w:r/>
          <w:r>
            <w:rPr>
              <w:rFonts w:ascii="Arial" w:hAnsi="Arial"/>
              <w:b w:val="0"/>
              <w:i w:val="0"/>
              <w:color w:val="666666"/>
              <w:sz w:val="16"/>
            </w:rPr>
            <w:t>CPCP-02</w:t>
          </w:r>
        </w:p>
      </w:tc>
      <w:tc>
        <w:tcPr>
          <w:tcW w:type="dxa" w:w="3010"/>
          <w:vAlign w:val="center"/>
        </w:tcPr>
        <w:p>
          <w:pPr>
            <w:spacing w:after="0" w:before="0" w:line="240" w:lineRule="auto"/>
            <w:jc w:val="center"/>
          </w:pPr>
          <w:r/>
          <w:r>
            <w:rPr>
              <w:rFonts w:ascii="Arial" w:hAnsi="Arial"/>
              <w:b w:val="0"/>
              <w:i w:val="0"/>
              <w:color w:val="666666"/>
              <w:sz w:val="16"/>
            </w:rPr>
            <w:t>Template - adapt to the project and contract</w:t>
          </w:r>
        </w:p>
      </w:tc>
      <w:tc>
        <w:tcPr>
          <w:tcW w:type="dxa" w:w="3010"/>
          <w:vAlign w:val="center"/>
        </w:tcPr>
        <w:p>
          <w:pPr>
            <w:spacing w:after="0" w:before="0" w:line="240" w:lineRule="auto"/>
            <w:jc w:val="right"/>
          </w:pPr>
          <w:r>
            <w:rPr>
              <w:rFonts w:ascii="Arial" w:hAnsi="Arial"/>
              <w:color w:val="666666"/>
              <w:sz w:val="16"/>
            </w:rPr>
            <w:t xml:space="preserve">Page </w:t>
          </w:r>
          <w:r>
            <w:rPr>
              <w:rFonts w:ascii="Arial" w:hAnsi="Arial"/>
              <w:color w:val="666666"/>
              <w:sz w:val="16"/>
            </w:rPr>
            <w:fldChar w:fldCharType="begin"/>
            <w:instrText xml:space="preserve"> PAGE </w:instrText>
            <w:fldChar w:fldCharType="separate"/>
            <w:t>1</w: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40"/>
      <w:jc w:val="left"/>
    </w:pPr>
    <w:r/>
    <w:r>
      <w:rPr>
        <w:rFonts w:ascii="Arial" w:hAnsi="Arial"/>
        <w:b/>
        <w:i w:val="0"/>
        <w:color w:val="1F4E5F"/>
        <w:sz w:val="18"/>
      </w:rPr>
      <w:t>Ink &amp; Lintel</w:t>
    </w:r>
    <w:r>
      <w:rPr>
        <w:rFonts w:ascii="Arial" w:hAnsi="Arial"/>
        <w:b w:val="0"/>
        <w:i w:val="0"/>
        <w:color w:val="666666"/>
        <w:sz w:val="17"/>
      </w:rPr>
      <w:t xml:space="preserve">  |  Client Project Control Pack</w:t>
    </w:r>
  </w:p>
  <w:p>
    <w:pPr>
      <w:spacing w:after="0"/>
      <w:pBdr>
        <w:bottom w:val="single" w:sz="8" w:space="1" w:color="5F8F9D"/>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80"/>
      <w:outlineLvl w:val="0"/>
    </w:pPr>
    <w:rPr>
      <w:rFonts w:asciiTheme="majorHAnsi" w:eastAsiaTheme="majorEastAsia" w:hAnsiTheme="majorHAnsi" w:cstheme="majorBidi" w:ascii="Arial" w:hAnsi="Arial"/>
      <w:b/>
      <w:bCs/>
      <w:color w:val="1F4E5F"/>
      <w:sz w:val="30"/>
      <w:szCs w:val="28"/>
    </w:rPr>
  </w:style>
  <w:style w:type="paragraph" w:styleId="Heading2">
    <w:name w:val="heading 2"/>
    <w:basedOn w:val="Normal"/>
    <w:next w:val="Normal"/>
    <w:link w:val="Heading2Char"/>
    <w:uiPriority w:val="9"/>
    <w:unhideWhenUsed/>
    <w:qFormat/>
    <w:rsid w:val="00FC693F"/>
    <w:pPr>
      <w:keepNext/>
      <w:keepLines/>
      <w:spacing w:before="180" w:after="80"/>
      <w:outlineLvl w:val="1"/>
    </w:pPr>
    <w:rPr>
      <w:rFonts w:asciiTheme="majorHAnsi" w:eastAsiaTheme="majorEastAsia" w:hAnsiTheme="majorHAnsi" w:cstheme="majorBidi" w:ascii="Arial" w:hAnsi="Arial"/>
      <w:b/>
      <w:bCs/>
      <w:color w:val="5F8F9D"/>
      <w:sz w:val="23"/>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rial" w:hAnsi="Arial"/>
      <w:b/>
      <w:bCs/>
      <w:color w:val="1F4E5F"/>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80" w:line="240" w:lineRule="auto" w:before="0"/>
      <w:contextualSpacing/>
    </w:pPr>
    <w:rPr>
      <w:rFonts w:asciiTheme="majorHAnsi" w:eastAsiaTheme="majorEastAsia" w:hAnsiTheme="majorHAnsi" w:cstheme="majorBidi" w:ascii="Arial" w:hAnsi="Arial"/>
      <w:b/>
      <w:color w:val="1F4E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