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tcMar>
              <w:top w:w="160" w:type="dxa"/>
              <w:start w:w="180" w:type="dxa"/>
              <w:bottom w:w="150" w:type="dxa"/>
              <w:end w:w="18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34"/>
              </w:rPr>
              <w:t>09. Defects, Aftercare and Project Close-Out Expanded Checklist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FFFFFF"/>
                <w:sz w:val="19"/>
              </w:rPr>
              <w:t>Manage defects, maintenance, retention, warranties and final records until the project reaches a controlled conclusion.</w:t>
            </w:r>
          </w:p>
        </w:tc>
      </w:tr>
    </w:tbl>
    <w:p>
      <w:pPr>
        <w:keepNext w:val="0"/>
        <w:keepLines w:val="0"/>
        <w:spacing w:before="14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1"/>
        </w:rPr>
        <w:t>PROJECT DETAILS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2256"/>
        <w:gridCol w:w="2256"/>
        <w:gridCol w:w="2256"/>
        <w:gridCol w:w="2256"/>
      </w:tblGrid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title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controlled project title used on approvals, appointments and contract documents.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Project reference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Use the organisation’s project number or another unique reference that will remain stable throughout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Client / organisation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legal or operational client organisation responsible for the project.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Site / building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Identify the building, site, floor, room or package clearly enough for another reviewer to understand the project boundary.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Prepared by</w:t>
            </w:r>
          </w:p>
        </w:tc>
        <w:tc>
          <w:tcPr>
            <w:tcW w:type="dxa" w:w="2891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Name the person coordinating this review. Technical or legal answers should still be confirmed by the appropriately appointed adviser.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  <w:tc>
          <w:tcPr>
            <w:tcW w:type="dxa" w:w="181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shd w:fill="D9EAF7" w:val="clear"/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7"/>
              </w:rPr>
              <w:t>Review date</w:t>
            </w:r>
          </w:p>
        </w:tc>
        <w:tc>
          <w:tcPr>
            <w:tcW w:type="dxa" w:w="2494"/>
            <w:tcMar>
              <w:top w:w="80" w:type="dxa"/>
              <w:start w:w="90" w:type="dxa"/>
              <w:bottom w:w="80" w:type="dxa"/>
              <w:end w:w="90" w:type="dxa"/>
            </w:tcMar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7F7F7F"/>
                <w:sz w:val="15"/>
              </w:rPr>
              <w:t>Enter the date of this review. Update it when the checklist is formally revisited.</w:t>
            </w:r>
          </w:p>
          <w:p>
            <w:pPr>
              <w:keepNext w:val="0"/>
              <w:keepLines w:val="0"/>
              <w:spacing w:before="8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A6A6A6"/>
                <w:sz w:val="16"/>
              </w:rPr>
              <w:t>________________________________________________________________</w:t>
            </w:r>
          </w:p>
        </w:tc>
      </w:tr>
    </w:tbl>
    <w:p>
      <w:pPr>
        <w:keepNext w:val="0"/>
        <w:keepLines w:val="0"/>
        <w:spacing w:before="10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7"/>
        </w:rPr>
        <w:t xml:space="preserve">Document version: </w:t>
      </w:r>
      <w:r>
        <w:rPr>
          <w:rFonts w:ascii="Arial" w:hAnsi="Arial" w:eastAsia="Arial" w:cs="Arial"/>
          <w:b w:val="0"/>
          <w:i w:val="0"/>
          <w:color w:val="666666"/>
          <w:sz w:val="17"/>
        </w:rPr>
        <w:t>1.0  |  22 July 2026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10" w:type="dxa"/>
              <w:start w:w="140" w:type="dxa"/>
              <w:bottom w:w="110" w:type="dxa"/>
              <w:end w:w="140" w:type="dxa"/>
            </w:tcMar>
            <w:vAlign w:val="center"/>
          </w:tcPr>
          <w:p>
            <w:pPr>
              <w:keepNext w:val="0"/>
              <w:keepLines w:val="0"/>
              <w:spacing w:before="0" w:after="6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1F4E78"/>
                <w:sz w:val="19"/>
              </w:rPr>
              <w:t>HOW TO USE THIS CHECKLIST</w:t>
            </w:r>
          </w:p>
          <w:p>
            <w:pPr>
              <w:keepNext w:val="0"/>
              <w:keepLines w:val="0"/>
              <w:spacing w:before="0" w:after="60" w:line="252" w:lineRule="auto"/>
            </w:pPr>
            <w:r>
              <w:rPr>
                <w:rFonts w:ascii="Arial" w:hAnsi="Arial" w:eastAsia="Arial" w:cs="Arial"/>
                <w:b w:val="0"/>
                <w:i w:val="0"/>
                <w:color w:val="000000"/>
                <w:sz w:val="17"/>
              </w:rPr>
              <w:t>Open the file early and keep it live. Select a status for every line, record the evidence or decision, and give every action an owner and due date. Use N/A only where the matter genuinely does not apply and explain why. A checklist supports client governance; it does not replace project-specific professional, legal, technical, safety or procurement advice.</w:t>
            </w:r>
          </w:p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b/>
                <w:i w:val="0"/>
                <w:color w:val="1F4E78"/>
                <w:sz w:val="16"/>
              </w:rPr>
              <w:t>Status:  [ ] Not reviewed   [ ] Complete   [ ] Action required   [ ] Risk accepted   [ ] Not applicable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23"/>
        </w:rPr>
        <w:t>EXPANDED WORKING CHECKLIST</w:t>
      </w:r>
    </w:p>
    <w:p>
      <w:pPr>
        <w:keepNext/>
        <w:keepLines w:val="0"/>
        <w:spacing w:before="0" w:after="120" w:line="240" w:lineRule="auto"/>
      </w:pPr>
      <w:r>
        <w:rPr>
          <w:rFonts w:ascii="Arial" w:hAnsi="Arial" w:eastAsia="Arial" w:cs="Arial"/>
          <w:b w:val="0"/>
          <w:i/>
          <w:color w:val="666666"/>
          <w:sz w:val="17"/>
        </w:rPr>
        <w:t>Complete each item with the project team. Attach or identify supporting evidence where appropriate.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A1  |  CLOSE-OUT SETUP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the contract wording for the defects or rectification period.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actual terminology, start date, end date, procedures and responsible certifier. Do not rely on a standard assumed period.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A2  |  CLOSE-OUT SETUP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retention, final-account, making-good and final-certificate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Create a key-date schedule and review it before deadlines are reached.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A3  |  CLOSE-OUT SETUP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Nominate one client lead for reports and instructions.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Route all issues through a controlled register to avoid duplicates, informal trade contact and conflicting instructions.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A4  |  CLOSE-OUT SETUP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contractor, consultant and specialist contacts remain current.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Include emergency and out-of-hours contacts and any required notice or access route.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A5  |  CLOSE-OUT SETUP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Plan early aftercare, seasonal commissioning and the end-of-period inspection.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Set dates while key people and subcontractors are still available.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B1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Use one numbered defects and close-out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location, description, date reported, evidence, priority, responsible party, target date, status and closure.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B2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Describe each issue precisely.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room, asset, symptom, frequency and photographs where useful. Avoid vague wording such as door problem.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B3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Classify the issue before assigning responsibility.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defect, incomplete work, commissioning adjustment, maintenance, user damage, warranty claim, latent issue or new unrelated fault.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B4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Escalate urgent safety, security, weather or essential-service issues.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Temporary action may be needed before responsibility is finally determined.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B5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Group routine visits where practical.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Reduce disruption while ensuring urgent or consequential problems are not delayed.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B6  |  DEFECT REPORTING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reports made within the contractual period.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Keep evidence of date and route even when repair must occur later because of access, weather or parts.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C1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Send defect information through the correct contractual route.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contract administrator or named authority may need to inspect, instruct or certify rather than the client contacting trades directly.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C2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Agree investigation responsibility and target dates.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Some issues require monitoring, opening up, specialist attendance or design review before a remedy is selected.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C3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Plan access, permits, protection and service isolation.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Treat remedial work in an occupied building as controlled construction activity.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C4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the proposed remedy addresses the cause, not only the symptom.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Repeated resetting, resealing or patching may indicate a deeper design, installation or commissioning problem.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C5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completed remedial work.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inspection, testing, photographs, user confirmation and any updated documents before closing the item.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C6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Reopen items that recur or fail verification.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Track repeated failures and escalate for root-cause review rather than creating unconnected new reports.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C7  |  INVESTIGATION AND REMEDY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Update as-built, O&amp;M and asset information after remedial changes.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The final record should describe the corrected installation and revised maintenance requirements.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D1  |  MAINTENANCE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Continue all client maintenance obligations from handover.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Follow servicing, cleaning, consumable, testing and authorised-installer requirements even while defects are being resolved.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D2  |  MAINTENANCE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Keep evidence of operation and maintenance.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Logs, service sheets, settings and user records help distinguish defect from poor operation or missed maintenance.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D3  |  MAINTENANCE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user feedback and building performance.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Consider comfort, energy, controls, noise, access, reliability and whether further training or adjustment is needed.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D4  |  MAINTENANCE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Complete seasonal commissioning and deferred testing.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results, adjustments, failures and responsibilities for follow-up work.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D5  |  MAINTENANCE AND OPERATION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Protect warranty conditions.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Register warranties, use approved maintainers, keep service records and observe notification deadlines.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E1  |  WARRANTIES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Create a warranty and guarantee register.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product or system, provider, coverage, start, expiry, registration, servicing conditions, contacts and claim procedure.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E2  |  WARRANTIES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collateral warranties, bonds and securities are executed and stored.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Check beneficiary, form, date and location and chase missing documents before the project team disperses.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E3  |  WARRANTIES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all final O&amp;M, as-built and statutory documents are complete.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Resolve placeholders, draft watermarks, missing signatures, incorrect revisions and inaccessible file formats.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E4  |  WARRANTIES AND RECORDS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Store project records in the client’s permanent system.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a clear folder structure, access controls, backups and links to the asset or property record.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F1  |  COMMERCIAL CLOSE-OUT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the final account and unresolved variations.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Reconcile instructions, valuations, claims, provisional sums, omissions and agreed adjustments with professional advice.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F2  |  COMMERCIAL CLOSE-OUT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Check the contractual conditions for release of remaining retention.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Do not release money simply because a date has passed and do not withhold it without a contractual basis.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F3  |  COMMERCIAL CLOSE-OUT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making-good or equivalent certification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the inspection, outstanding items and the person authorised to certify under the contract.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F4  |  COMMERCIAL CLOSE-OUT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final certificate and final-payment requirements.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Distinguish contract certificates from Building Control completion, fire-safety records and manufacturer warranties.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F5  |  COMMERCIAL CLOSE-OUT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Record any unresolved claim, dispute or continuing liability.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Obtain legal, contractual or insurance advice where necessary and preserve relevant evidence.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G1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Hold a formal inspection before the defects period expires.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Invite the appropriate contractor, consultants, facilities team and users and issue the resulting list promptly.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G2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Confirm every register item has a final status.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Use closed, accepted risk, transferred to maintenance, warranty claim, disputed or continuing action rather than leaving blanks.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G3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Capture lessons learned.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Record issues in brief, design, surveys, tender, construction, commissioning, handover and operation that should influence future projects.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G4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Review whether the completed project met its original success criteria.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Compare capacity, cost, programme, performance, user experience and operational outcomes against the approved brief.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G5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Transfer continuing actions to operational owners.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Identify maintenance, monitoring, warranty, seasonal or long-term actions with named owners and dates.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/>
            </w:pPr>
          </w:p>
          <w:tbl>
            <w:tblPr>
              <w:tblW w:type="dxa" w:w="9026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9026"/>
            </w:tblGrid>
            <w:tr>
              <w:trPr>
                <w:cantSplit/>
              </w:trPr>
              <w:tc>
                <w:tcPr>
                  <w:tcW w:type="dxa" w:w="9026"/>
                  <w:tcMar>
                    <w:top w:w="65" w:type="dxa"/>
                    <w:start w:w="110" w:type="dxa"/>
                    <w:bottom w:w="65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2F75B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FFFFFF"/>
                      <w:sz w:val="17"/>
                    </w:rPr>
                    <w:t>G6  |  REVIEW AND CLOSURE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000000"/>
                      <w:sz w:val="18"/>
                    </w:rPr>
                    <w:t>Obtain formal approval to close the project.</w:t>
                  </w:r>
                </w:p>
                <w:p>
                  <w:pPr>
                    <w:keepNext/>
                    <w:keepLines/>
                    <w:spacing w:before="0" w:after="0" w:line="240" w:lineRule="auto"/>
                  </w:pPr>
                  <w:r>
                    <w:rPr>
                      <w:rFonts w:ascii="Arial" w:hAnsi="Arial" w:eastAsia="Arial" w:cs="Arial"/>
                      <w:b/>
                      <w:i/>
                      <w:color w:val="1F4E78"/>
                      <w:sz w:val="15"/>
                    </w:rPr>
                    <w:t xml:space="preserve">Guidance: </w:t>
                  </w:r>
                  <w:r>
                    <w:rPr>
                      <w:rFonts w:ascii="Arial" w:hAnsi="Arial" w:eastAsia="Arial" w:cs="Arial"/>
                      <w:b w:val="0"/>
                      <w:i/>
                      <w:color w:val="666666"/>
                      <w:sz w:val="15"/>
                    </w:rPr>
                    <w:t>Close only when records, money, certificates, warranties and residual actions are understood and stored.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  <w:shd w:fill="F5F5F5" w:val="clear"/>
                </w:tcPr>
                <w:p>
                  <w:pPr>
                    <w:keepNext/>
                    <w:keepLines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 xml:space="preserve">STATUS   </w:t>
                  </w:r>
                  <w:r>
                    <w:rPr>
                      <w:rFonts w:ascii="Arial" w:hAnsi="Arial" w:eastAsia="Arial" w:cs="Arial"/>
                      <w:b w:val="0"/>
                      <w:i w:val="0"/>
                      <w:color w:val="000000"/>
                      <w:sz w:val="16"/>
                    </w:rPr>
                    <w:t>[ ] Not reviewed   [ ] Complete   [ ] Action required   [ ] Risk accepted   [ ] N/A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6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EVIDENCE / DECISION / NOTES</w:t>
                  </w:r>
                </w:p>
                <w:p>
                  <w:pPr>
                    <w:keepNext/>
                    <w:keepLines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  <w:p>
                  <w:pPr>
                    <w:keepNext/>
                    <w:keepLines/>
                    <w:spacing w:before="4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/>
                    <w:keepLines/>
                    <w:spacing w:before="0" w:after="4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5"/>
                    </w:rPr>
                    <w:t>ACTION REQUIRED / NEXT STEP</w:t>
                  </w:r>
                </w:p>
                <w:p>
                  <w:pPr>
                    <w:keepNext/>
                    <w:keepLines/>
                    <w:spacing w:before="8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4"/>
                    </w:rPr>
                    <w:t>________________________________________________________________________________________________________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9026"/>
                  <w:tcMar>
                    <w:top w:w="70" w:type="dxa"/>
                    <w:start w:w="110" w:type="dxa"/>
                    <w:bottom w:w="70" w:type="dxa"/>
                    <w:end w:w="110" w:type="dxa"/>
                  </w:tcMar>
                  <w:tcBorders>
                    <w:top w:val="single" w:sz="5" w:color="A6A6A6"/>
                    <w:left w:val="single" w:sz="5" w:color="A6A6A6"/>
                    <w:bottom w:val="single" w:sz="5" w:color="A6A6A6"/>
                    <w:right w:val="single" w:sz="5" w:color="A6A6A6"/>
                  </w:tcBorders>
                </w:tcPr>
                <w:p>
                  <w:pPr>
                    <w:keepNext w:val="0"/>
                    <w:keepLines/>
                    <w:spacing w:before="0" w:after="0" w:line="240" w:lineRule="auto"/>
                  </w:pPr>
                  <w:r/>
                </w:p>
                <w:tbl>
                  <w:tblPr>
                    <w:tblW w:type="dxa" w:w="8742"/>
                    <w:jc w:val="center"/>
                    <w:tblLayout w:type="fixed"/>
                    <w:tblLook w:firstColumn="1" w:firstRow="1" w:lastColumn="0" w:lastRow="0" w:noHBand="0" w:noVBand="1" w:val="04A0"/>
                  </w:tblPr>
                  <w:tblGrid>
                    <w:gridCol w:w="3009"/>
                    <w:gridCol w:w="3009"/>
                    <w:gridCol w:w="3009"/>
                  </w:tblGrid>
                  <w:tr>
                    <w:tc>
                      <w:tcPr>
                        <w:tcW w:type="dxa" w:w="3458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Owner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Due date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  <w:tc>
                      <w:tcPr>
                        <w:tcW w:type="dxa" w:w="2665"/>
                        <w:tcMar>
                          <w:top w:w="45" w:type="dxa"/>
                          <w:start w:w="70" w:type="dxa"/>
                          <w:bottom w:w="45" w:type="dxa"/>
                          <w:end w:w="70" w:type="dxa"/>
                        </w:tcMar>
                        <w:tcBorders>
                          <w:top w:val="single" w:sz="4" w:color="B7B7B7"/>
                          <w:left w:val="single" w:sz="4" w:color="B7B7B7"/>
                          <w:bottom w:val="single" w:sz="4" w:color="B7B7B7"/>
                          <w:right w:val="single" w:sz="4" w:color="B7B7B7"/>
                        </w:tcBorders>
                      </w:tcPr>
                      <w:p>
                        <w:pPr>
                          <w:keepNext w:val="0"/>
                          <w:keepLines/>
                          <w:spacing w:before="0" w:after="20" w:line="240" w:lineRule="auto"/>
                        </w:pPr>
                        <w:r/>
                        <w:r>
                          <w:rPr>
                            <w:rFonts w:ascii="Arial" w:hAnsi="Arial" w:eastAsia="Arial" w:cs="Arial"/>
                            <w:b/>
                            <w:i w:val="0"/>
                            <w:color w:val="1F4E78"/>
                            <w:sz w:val="15"/>
                          </w:rPr>
                          <w:t>Date closed</w:t>
                        </w:r>
                      </w:p>
                      <w:p>
                        <w:pPr>
                          <w:keepNext w:val="0"/>
                          <w:keepLines/>
                          <w:spacing w:before="0" w:after="0" w:line="240" w:lineRule="auto"/>
                        </w:pPr>
                        <w:r>
                          <w:rPr>
                            <w:rFonts w:ascii="Arial" w:hAnsi="Arial" w:eastAsia="Arial" w:cs="Arial"/>
                            <w:b w:val="0"/>
                            <w:i w:val="0"/>
                            <w:color w:val="BFBFBF"/>
                            <w:sz w:val="14"/>
                          </w:rPr>
                          <w:t>____________________________</w:t>
                        </w:r>
                      </w:p>
                    </w:tc>
                  </w:tr>
                </w:tbl>
                <w:p>
                  <w:pPr>
                    <w:keepNext w:val="0"/>
                    <w:keepLines/>
                    <w:spacing w:after="0" w:line="20" w:lineRule="exact"/>
                  </w:pPr>
                </w:p>
              </w:tc>
            </w:tr>
          </w:tbl>
          <w:p/>
        </w:tc>
      </w:tr>
    </w:tbl>
    <w:p>
      <w:pPr>
        <w:keepNext w:val="0"/>
        <w:keepLines w:val="0"/>
        <w:spacing w:before="0" w:after="60" w:line="240" w:lineRule="auto"/>
      </w:pPr>
    </w:p>
    <w:p>
      <w:r>
        <w:rPr>
          <w:rFonts w:ascii="Arial" w:hAnsi="Arial" w:eastAsia="Arial" w:cs="Arial"/>
          <w:sz w:val="19"/>
        </w:rPr>
        <w:br w:type="page"/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1F4E78" w:val="clear"/>
            <w:tcMar>
              <w:top w:w="120" w:type="dxa"/>
              <w:start w:w="150" w:type="dxa"/>
              <w:bottom w:w="110" w:type="dxa"/>
              <w:end w:w="150" w:type="dxa"/>
            </w:tcMar>
            <w:tcBorders>
              <w:top w:val="single" w:sz="8" w:color="1F4E78"/>
              <w:left w:val="single" w:sz="8" w:color="1F4E78"/>
              <w:bottom w:val="single" w:sz="8" w:color="1F4E78"/>
              <w:right w:val="single" w:sz="8" w:color="1F4E78"/>
            </w:tcBorders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FFFFFF"/>
                <w:sz w:val="26"/>
              </w:rPr>
              <w:t>STAGE GATE DECISION</w:t>
            </w:r>
          </w:p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Gate test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shd w:fill="EEF5FA" w:val="clear"/>
            <w:tcBorders>
              <w:top w:val="single" w:sz="6" w:color="2F75B5"/>
              <w:left w:val="single" w:sz="6" w:color="2F75B5"/>
              <w:bottom w:val="single" w:sz="6" w:color="2F75B5"/>
              <w:right w:val="single" w:sz="6" w:color="2F75B5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keepNext w:val="0"/>
              <w:keepLines w:val="0"/>
              <w:spacing w:before="0" w:after="0" w:line="252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Reported items are resolved or formally recorded, contractual payments and certificates are dealt with and the client holds the records needed to protect and operate the building.</w:t>
            </w:r>
          </w:p>
        </w:tc>
      </w:tr>
    </w:tbl>
    <w:p>
      <w:pPr>
        <w:keepNext/>
        <w:keepLines w:val="0"/>
        <w:spacing w:before="160" w:after="8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Decision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/>
                <w:i w:val="0"/>
                <w:color w:val="000000"/>
                <w:sz w:val="18"/>
              </w:rPr>
              <w:t>[ ] Approved to proceed    [ ] Approved with conditions    [ ] Do not proceed    [ ] Review not yet completed</w:t>
            </w:r>
          </w:p>
        </w:tc>
      </w:tr>
      <w:tr>
        <w:trPr>
          <w:cantSplit/>
        </w:trP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 w:eastAsia="Arial" w:cs="Arial"/>
                <w:sz w:val="19"/>
              </w:rPr>
            </w:r>
          </w:p>
          <w:tbl>
            <w:tblPr>
              <w:tblW w:type="dxa" w:w="8742"/>
              <w:tblLayout w:type="fixed"/>
              <w:tblLook w:firstColumn="1" w:firstRow="1" w:lastColumn="0" w:lastRow="0" w:noHBand="0" w:noVBand="1" w:val="04A0"/>
            </w:tblPr>
            <w:tblGrid>
              <w:gridCol w:w="4513"/>
              <w:gridCol w:w="4513"/>
            </w:tblGrid>
            <w:tr>
              <w:tc>
                <w:tcPr>
                  <w:tcW w:type="dxa" w:w="5386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Approved by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  <w:tc>
                <w:tcPr>
                  <w:tcW w:type="dxa" w:w="3402"/>
                  <w:tcBorders>
                    <w:top w:val="single" w:sz="4" w:color="B7B7B7"/>
                    <w:left w:val="single" w:sz="4" w:color="B7B7B7"/>
                    <w:bottom w:val="single" w:sz="4" w:color="B7B7B7"/>
                    <w:right w:val="single" w:sz="4" w:color="B7B7B7"/>
                  </w:tcBorders>
                </w:tcPr>
                <w:p>
                  <w:pPr>
                    <w:keepNext w:val="0"/>
                    <w:keepLines w:val="0"/>
                    <w:spacing w:before="0" w:after="0" w:line="240" w:lineRule="auto"/>
                  </w:pPr>
                  <w:r/>
                  <w:r>
                    <w:rPr>
                      <w:rFonts w:ascii="Arial" w:hAnsi="Arial" w:eastAsia="Arial" w:cs="Arial"/>
                      <w:b/>
                      <w:i w:val="0"/>
                      <w:color w:val="1F4E78"/>
                      <w:sz w:val="16"/>
                    </w:rPr>
                    <w:t>Date</w:t>
                  </w:r>
                </w:p>
                <w:p>
                  <w:pPr>
                    <w:keepNext w:val="0"/>
                    <w:keepLines w:val="0"/>
                    <w:spacing w:before="100" w:after="0" w:line="240" w:lineRule="auto"/>
                  </w:pPr>
                  <w:r>
                    <w:rPr>
                      <w:rFonts w:ascii="Arial" w:hAnsi="Arial" w:eastAsia="Arial" w:cs="Arial"/>
                      <w:b w:val="0"/>
                      <w:i w:val="0"/>
                      <w:color w:val="BFBFBF"/>
                      <w:sz w:val="16"/>
                    </w:rPr>
                    <w:t>______________________________________________</w:t>
                  </w:r>
                </w:p>
              </w:tc>
            </w:tr>
          </w:tbl>
          <w:p/>
        </w:tc>
      </w:tr>
    </w:tbl>
    <w:p>
      <w:pPr>
        <w:keepNext/>
        <w:keepLines w:val="0"/>
        <w:spacing w:before="160" w:after="60" w:line="240" w:lineRule="auto"/>
      </w:pPr>
      <w:r>
        <w:rPr>
          <w:rFonts w:ascii="Arial" w:hAnsi="Arial" w:eastAsia="Arial" w:cs="Arial"/>
          <w:b/>
          <w:i w:val="0"/>
          <w:color w:val="1F4E78"/>
          <w:sz w:val="19"/>
        </w:rPr>
        <w:t>Conditions, exceptions and residual risks</w:t>
      </w:r>
    </w:p>
    <w:tbl>
      <w:tblPr>
        <w:tblW w:type="dxa" w:w="9026"/>
        <w:jc w:val="center"/>
        <w:tblLayout w:type="fixed"/>
        <w:tblLook w:firstColumn="1" w:firstRow="1" w:lastColumn="0" w:lastRow="0" w:noHBand="0" w:noVBand="1" w:val="04A0"/>
      </w:tblPr>
      <w:tblGrid>
        <w:gridCol w:w="9026"/>
      </w:tblGrid>
      <w:tr>
        <w:tc>
          <w:tcPr>
            <w:tcW w:type="dxa" w:w="9026"/>
            <w:tcBorders>
              <w:top w:val="single" w:sz="5" w:color="B7B7B7"/>
              <w:left w:val="single" w:sz="5" w:color="B7B7B7"/>
              <w:bottom w:val="single" w:sz="5" w:color="B7B7B7"/>
              <w:right w:val="single" w:sz="5" w:color="B7B7B7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keepNext w:val="0"/>
              <w:keepLines w:val="0"/>
              <w:spacing w:before="0" w:after="0" w:line="240" w:lineRule="auto"/>
            </w:pPr>
            <w:r>
              <w:rPr>
                <w:rFonts w:ascii="Arial" w:hAnsi="Arial" w:eastAsia="Arial" w:cs="Arial"/>
                <w:sz w:val="19"/>
              </w:rPr>
            </w:r>
            <w:r>
              <w:rPr>
                <w:rFonts w:ascii="Arial" w:hAnsi="Arial" w:eastAsia="Arial" w:cs="Arial"/>
                <w:b w:val="0"/>
                <w:i/>
                <w:color w:val="666666"/>
                <w:sz w:val="16"/>
              </w:rPr>
              <w:t>Record every condition or accepted exception, together with its owner and completion date where relevant.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  <w:p>
            <w:pPr>
              <w:keepNext w:val="0"/>
              <w:keepLines w:val="0"/>
              <w:spacing w:before="140" w:after="0" w:line="240" w:lineRule="auto"/>
            </w:pPr>
            <w:r>
              <w:rPr>
                <w:rFonts w:ascii="Arial" w:hAnsi="Arial" w:eastAsia="Arial" w:cs="Arial"/>
                <w:b w:val="0"/>
                <w:i w:val="0"/>
                <w:color w:val="BFBFBF"/>
                <w:sz w:val="15"/>
              </w:rPr>
              <w:t>________________________________________________________________________________________________________</w:t>
            </w:r>
          </w:p>
        </w:tc>
      </w:tr>
    </w:tbl>
    <w:p>
      <w:pPr>
        <w:keepNext w:val="0"/>
        <w:keepLines w:val="0"/>
        <w:spacing w:before="160" w:after="0" w:line="240" w:lineRule="auto"/>
      </w:pPr>
      <w:r>
        <w:rPr>
          <w:rFonts w:ascii="Arial" w:hAnsi="Arial" w:eastAsia="Arial" w:cs="Arial"/>
          <w:b w:val="0"/>
          <w:i/>
          <w:color w:val="666666"/>
          <w:sz w:val="15"/>
        </w:rPr>
        <w:t>Building Project Checklists — expanded downloadable resource | Version 1.0, 22 July 2026. For client-side project governance. Confirm current legislation, contract terms, organisational procedures and project-specific professional advice.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40" w:right="1440" w:bottom="1440" w:left="144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 w:val="0"/>
      <w:spacing w:before="0" w:after="0" w:line="240" w:lineRule="auto"/>
      <w:jc w:val="center"/>
    </w:pPr>
    <w:r>
      <w:rPr>
        <w:rFonts w:ascii="Arial" w:hAnsi="Arial" w:eastAsia="Arial" w:cs="Arial"/>
        <w:b w:val="0"/>
        <w:i w:val="0"/>
        <w:color w:val="666666"/>
        <w:sz w:val="15"/>
      </w:rPr>
      <w:t xml:space="preserve">Expanded downloadable resource  |  Chapter 09  |  Page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of </w:t>
    </w:r>
    <w:r>
      <w:rPr>
        <w:rFonts w:ascii="Arial" w:hAnsi="Arial" w:eastAsia="Arial" w:cs="Arial"/>
        <w:color w:val="666666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keepLines w:val="0"/>
      <w:spacing w:before="0" w:after="40" w:line="240" w:lineRule="auto"/>
      <w:jc w:val="left"/>
      <w:pBdr>
        <w:bottom w:val="single" w:sz="6" w:space="2" w:color="1F4E78"/>
      </w:pBdr>
    </w:pPr>
    <w:r>
      <w:rPr>
        <w:rFonts w:ascii="Arial" w:hAnsi="Arial" w:eastAsia="Arial" w:cs="Arial"/>
        <w:b/>
        <w:i w:val="0"/>
        <w:color w:val="1F4E78"/>
        <w:sz w:val="15"/>
      </w:rPr>
      <w:t>BUILDING PROJECT CHECKLISTS</w:t>
    </w:r>
    <w:r>
      <w:rPr>
        <w:rFonts w:ascii="Arial" w:hAnsi="Arial" w:eastAsia="Arial" w:cs="Arial"/>
        <w:b w:val="0"/>
        <w:i w:val="0"/>
        <w:color w:val="666666"/>
        <w:sz w:val="15"/>
      </w:rPr>
      <w:t xml:space="preserve">  |  Defects, Aftercare and Project Close-Out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8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FFFFF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 Defects, Aftercare and Project Close-Out Expanded Checklist</dc:title>
  <dc:subject>Expanded client-side building project checklist</dc:subject>
  <dc:creator>Chris Wilkinson</dc:creator>
  <cp:keywords/>
  <dc:description>A4 portrait printable expanded checklist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