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03. Design Development and Tender Readiness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Confirm that the design is coordinated, affordable, operable and sufficiently defined before tender.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BRIEF ALIGNMENT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current design still answers the approved brief.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Compare the design against the latest controlled brief rather than memory or earlier meeting notes.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BRIEF ALIGNMENT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every approved change to scope, quality or intended use.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the reason, approver, cost effect, programme effect and revision of the brief or drawings.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BRIEF ALIGNMENT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measurable success criteria remain achievable.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Test capacity, accessibility, performance, completion date, operational outcomes and other agreed measures.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BRIEF ALIGNMENT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client decisions still needed before tender.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Give each decision an owner and latest date. Treat unresolved choices affecting price or coordination as tender-readiness risks.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BRIEF ALIGNMENT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user and operational representatives have reviewed the developed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Seek practical input from facilities, maintenance, IT, security, cleaning, accessibility and end users before the design is frozen.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required surveys have been completed and issued to the designers.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the survey scope and limitations, not merely that a report exists.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Verify dimensions, levels and existing construction where the design relies on them.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any areas that could not be accessed and how the uncertainty will be managed.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existing services and capacities have been investigated.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incoming supplies, distribution, drainage, controls, fire alarm, data and utility-provider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asbestos and hazardous-material information is adequate for the planned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that the survey type and access match the scope and that residual limitations are visible.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structural, ground, drainage and building-condition risks.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Ensure the design and cost plan respond to findings rather than leaving reports unreferenced.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B6  |  SURVEYS AND EXISTING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remaining unknowns and their treatment.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Choose a deliberate response: further investigation, design solution, provisional allowance, tender assumption or retained client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architectural information is sufficiently developed.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Plans, elevations, sections, details, schedules and room information should describe the complete work and existing interfaces.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structural design and sequencing are coordinated.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openings, supports, temporary stability assumptions, loadings, interfaces and builder’s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mechanical, electrical and public-health designs are coordinated.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plant locations, routes, penetrations, controls, power, drainage, access and builders’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fire, security, data, AV and specialist systems are integrated.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Avoid treating specialist packages as later additions where they affect space, power, containment, doors, ceilings or commissioning.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reflected ceilings, room layouts and service zones.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Resolve clashes between lighting, detectors, grilles, sprinklers, access panels, acoustic elements and partitions.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interfaces between existing and new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Define demolition, protection, temporary support, making good, service changeovers and responsibility at each boundary.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C7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design responsibilities are allocated.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consultant, contractor and specialist design portions, required performance criteria, review process and programme.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C8  |  DESIGN COORDINATION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the lead designer’s coordination review.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Retain evidence of interdisciplinary review and list any residual actions before tender issue.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planning and heritage strategy remains valid.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design changes against applications, conditions, listed-building requirements and consultation commitments.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Building Regulations strategy and approval status.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remaining design evidence, submissions, consultations and conditions that affect tender or construction.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fire safety in the developed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escape, compartmentation, fire stopping, alarms, smoke control, firefighting access, management arrangements and construction-stage interfaces.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accessibility and inclusive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routes, doors, levels, sanitary facilities, controls, signage, acoustics, lighting and evacuation arrangements.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security, safeguarding and privacy.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zoning, access control, surveillance, secure storage, public interfaces and use during construction and operation.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D6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environmental and sustainability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energy, carbon, water, materials, waste, ecology, overheating and any certification or organisational targets.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D7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acoustic, thermal, ventilation and lighting performance.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measurable criteria and how design compliance and later testing will be demonstrated.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D8  |  COMPLIANCE AND PERFORMANCE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durability, cleaning and maintainability.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access, replacement routes, safe isolation, standardisation, spares, cleaning methods and whole-life implications.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CLIENT INTERFACES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furniture, fixtures and equipment.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what is in the contract, client-supplied or reused and coordinate dimensions, services, delivery and installation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CLIENT INTERFACES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ICT, data, AV, security and specialist equipment interfaces.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power, containment, network, cooling, mounting, testing and commissioning responsibilities.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CLIENT INTERFACES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signage, wayfinding, room numbering and branding.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Coordinate statutory, operational and corporate signage before tender rather than leaving it as an unpriced afterthought.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CLIENT INTERFACES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decant, phasing and temporary accommodation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Test the design and programme against the client’s ability to release areas and maintain services.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CLIENT INTERFACES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access, deliveries and work restrictions are reflected in the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compound space, lifting, waste routes, working hours, shutdowns, noise, dust and security.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Update the cost plan against the current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Reconcile the cost plan to the latest drawings, specification and client decisions, including risk, inflation, fees and client costs.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project remains within authorised funding.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Where it does not, revise scope, standard, phasing or funding before tender rather than hoping competition will solve the gap.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cost effects of unresolved design decisions.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allowances transparently and identify who controls each assumption.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value engineering without losing required outcomes.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what changes, what benefit is achieved and any effect on performance, maintenance, appearance, programme or risk.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Update the project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Allow for remaining design, approvals, tender, decision, mobilisation, long-lead procurement, commissioning and client fit-out.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F6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long-lead items and early procurement decisions.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design information, authority, warranties, storage, ownership and interface risk before committing early orders.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F7  |  COST AND PROGRAMME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procurement route and contract strategy still suit the developed design.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Review design responsibility, pricing basis, risk allocation and programme as information becomes clearer.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Prepare a controlled drawing and document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title, number, revision, status, author and issue date for every tender document.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drawings, specification and schedules use consistent terminology and revisions.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room numbers, dimensions, product descriptions, scope boundaries and cross-references.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incomplete information and how tenderers must price it.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hide gaps. State performance requirements, provisional sums, assumptions or contractor design responsibilities consistently.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pre-construction information is being assembled.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project, site, existing building, hazards, operations, surveys and management information relevant to pricing and planning.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a formal design review with client, designers and cost adviser.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evidence, actions, owners and stop items rather than relying on a general statement that the design is nearly complete.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G6  |  TENDER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Approve the design freeze for tender.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 freeze creates a controlled baseline. Any later change should be assessed, authorised and issued through formal change control.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client and advisers can clearly describe what is being bought, how it meets the brief, what it costs and which residual risks remain.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03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Design Development and Tender Readiness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Design Development and Tender Readiness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